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黑体" w:hAnsi="黑体" w:eastAsia="黑体"/>
          <w:bCs/>
          <w:sz w:val="72"/>
          <w:szCs w:val="72"/>
        </w:rPr>
      </w:pPr>
      <w:r>
        <w:rPr>
          <w:rFonts w:hint="eastAsia" w:ascii="黑体" w:hAnsi="黑体" w:eastAsia="黑体"/>
          <w:bCs/>
          <w:sz w:val="72"/>
          <w:szCs w:val="72"/>
        </w:rPr>
        <w:t>建设项目环境影响报告表</w:t>
      </w:r>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 xml:space="preserve"> </w:t>
      </w:r>
    </w:p>
    <w:p>
      <w:pPr>
        <w:adjustRightInd w:val="0"/>
        <w:snapToGrid w:val="0"/>
        <w:spacing w:line="288" w:lineRule="auto"/>
        <w:jc w:val="center"/>
        <w:outlineLvl w:val="0"/>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rPr>
          <w:sz w:val="36"/>
          <w:szCs w:val="36"/>
          <w:u w:val="single"/>
        </w:rPr>
      </w:pPr>
      <w:r>
        <w:rPr>
          <w:rFonts w:hint="eastAsia" w:hAnsi="宋体"/>
          <w:sz w:val="36"/>
          <w:szCs w:val="36"/>
        </w:rPr>
        <w:t xml:space="preserve">      </w:t>
      </w:r>
      <w:r>
        <w:rPr>
          <w:rFonts w:hAnsi="宋体"/>
          <w:sz w:val="36"/>
          <w:szCs w:val="36"/>
        </w:rPr>
        <w:t>项目名称：</w:t>
      </w:r>
      <w:r>
        <w:rPr>
          <w:rFonts w:hint="eastAsia" w:hAnsi="宋体"/>
          <w:sz w:val="36"/>
          <w:szCs w:val="36"/>
          <w:u w:val="single"/>
        </w:rPr>
        <w:t xml:space="preserve">  水产加工品（干制水产品）生产、</w:t>
      </w:r>
      <w:r>
        <w:rPr>
          <w:rFonts w:hint="eastAsia"/>
          <w:sz w:val="36"/>
          <w:szCs w:val="36"/>
          <w:u w:val="single"/>
        </w:rPr>
        <w:t xml:space="preserve">        </w:t>
      </w:r>
    </w:p>
    <w:p>
      <w:pPr>
        <w:adjustRightInd w:val="0"/>
        <w:snapToGrid w:val="0"/>
        <w:spacing w:line="288" w:lineRule="auto"/>
        <w:rPr>
          <w:sz w:val="36"/>
          <w:szCs w:val="36"/>
          <w:u w:val="single"/>
        </w:rPr>
      </w:pPr>
      <w:r>
        <w:rPr>
          <w:rFonts w:hint="eastAsia"/>
          <w:sz w:val="36"/>
          <w:szCs w:val="36"/>
        </w:rPr>
        <w:t xml:space="preserve">                </w:t>
      </w:r>
      <w:r>
        <w:rPr>
          <w:rFonts w:hint="eastAsia"/>
          <w:sz w:val="36"/>
          <w:szCs w:val="36"/>
          <w:u w:val="single"/>
        </w:rPr>
        <w:t xml:space="preserve">      塑料制品生产加工</w:t>
      </w:r>
      <w:r>
        <w:rPr>
          <w:sz w:val="36"/>
          <w:szCs w:val="36"/>
          <w:u w:val="single"/>
        </w:rPr>
        <w:t xml:space="preserve">项目 </w:t>
      </w:r>
      <w:r>
        <w:rPr>
          <w:rFonts w:hint="eastAsia"/>
          <w:sz w:val="36"/>
          <w:szCs w:val="36"/>
          <w:u w:val="single"/>
        </w:rPr>
        <w:t xml:space="preserve">              </w:t>
      </w:r>
      <w:r>
        <w:rPr>
          <w:sz w:val="36"/>
          <w:szCs w:val="36"/>
          <w:u w:val="single"/>
        </w:rPr>
        <w:t xml:space="preserve"> </w:t>
      </w:r>
    </w:p>
    <w:p>
      <w:pPr>
        <w:adjustRightInd w:val="0"/>
        <w:snapToGrid w:val="0"/>
        <w:spacing w:line="288" w:lineRule="auto"/>
        <w:ind w:firstLine="1040"/>
        <w:rPr>
          <w:sz w:val="36"/>
          <w:szCs w:val="36"/>
          <w:u w:val="single"/>
        </w:rPr>
      </w:pPr>
    </w:p>
    <w:p>
      <w:pPr>
        <w:adjustRightInd w:val="0"/>
        <w:snapToGrid w:val="0"/>
        <w:spacing w:line="288" w:lineRule="auto"/>
        <w:ind w:firstLine="1040"/>
        <w:rPr>
          <w:sz w:val="36"/>
          <w:szCs w:val="36"/>
          <w:u w:val="single"/>
        </w:rPr>
      </w:pPr>
      <w:r>
        <w:rPr>
          <w:rFonts w:hAnsi="宋体"/>
          <w:sz w:val="36"/>
          <w:szCs w:val="36"/>
        </w:rPr>
        <w:t>建设单位：</w:t>
      </w:r>
      <w:r>
        <w:rPr>
          <w:rFonts w:hint="eastAsia" w:hAnsi="宋体"/>
          <w:sz w:val="36"/>
          <w:szCs w:val="36"/>
          <w:u w:val="single"/>
        </w:rPr>
        <w:t xml:space="preserve">   波力食品工业（滁州）有限公司   </w:t>
      </w:r>
    </w:p>
    <w:p>
      <w:pPr>
        <w:adjustRightInd w:val="0"/>
        <w:snapToGrid w:val="0"/>
        <w:spacing w:line="288" w:lineRule="auto"/>
        <w:ind w:firstLine="1040"/>
        <w:rPr>
          <w:sz w:val="36"/>
          <w:szCs w:val="36"/>
          <w:u w:val="single"/>
        </w:rPr>
      </w:pPr>
    </w:p>
    <w:p>
      <w:pPr>
        <w:adjustRightInd w:val="0"/>
        <w:snapToGrid w:val="0"/>
        <w:spacing w:line="288" w:lineRule="auto"/>
        <w:ind w:firstLine="1040"/>
        <w:rPr>
          <w:sz w:val="36"/>
          <w:szCs w:val="36"/>
          <w:u w:val="single"/>
        </w:rPr>
      </w:pPr>
      <w:r>
        <w:rPr>
          <w:rFonts w:hAnsi="宋体"/>
          <w:sz w:val="36"/>
          <w:szCs w:val="36"/>
        </w:rPr>
        <w:t>编制日期：</w:t>
      </w:r>
      <w:r>
        <w:rPr>
          <w:sz w:val="36"/>
          <w:szCs w:val="36"/>
          <w:u w:val="single"/>
        </w:rPr>
        <w:t xml:space="preserve">        </w:t>
      </w:r>
      <w:r>
        <w:rPr>
          <w:rFonts w:hAnsi="宋体"/>
          <w:sz w:val="36"/>
          <w:szCs w:val="36"/>
          <w:u w:val="single"/>
        </w:rPr>
        <w:t>二〇二一年</w:t>
      </w:r>
      <w:r>
        <w:rPr>
          <w:rFonts w:hint="eastAsia" w:hAnsi="宋体"/>
          <w:sz w:val="36"/>
          <w:szCs w:val="36"/>
          <w:u w:val="single"/>
        </w:rPr>
        <w:t>五</w:t>
      </w:r>
      <w:r>
        <w:rPr>
          <w:rFonts w:hAnsi="宋体"/>
          <w:sz w:val="36"/>
          <w:szCs w:val="36"/>
          <w:u w:val="single"/>
        </w:rPr>
        <w:t>月</w:t>
      </w:r>
      <w:r>
        <w:rPr>
          <w:sz w:val="36"/>
          <w:szCs w:val="36"/>
          <w:u w:val="single"/>
        </w:rPr>
        <w:t xml:space="preserve">      </w:t>
      </w:r>
      <w:r>
        <w:rPr>
          <w:rFonts w:hint="eastAsia"/>
          <w:sz w:val="36"/>
          <w:szCs w:val="36"/>
          <w:u w:val="single"/>
        </w:rPr>
        <w:t xml:space="preserve">  </w:t>
      </w:r>
      <w:r>
        <w:rPr>
          <w:sz w:val="36"/>
          <w:szCs w:val="36"/>
          <w:u w:val="single"/>
        </w:rPr>
        <w:t xml:space="preserve">   </w:t>
      </w:r>
    </w:p>
    <w:p>
      <w:pPr>
        <w:adjustRightInd w:val="0"/>
        <w:snapToGrid w:val="0"/>
        <w:spacing w:line="288" w:lineRule="auto"/>
        <w:ind w:firstLine="1040"/>
        <w:rPr>
          <w:rFonts w:ascii="仿宋_GB2312" w:eastAsia="仿宋_GB2312"/>
          <w:sz w:val="36"/>
          <w:szCs w:val="36"/>
        </w:rPr>
      </w:pPr>
      <w:bookmarkStart w:id="0"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0"/>
    <w:p>
      <w:pPr>
        <w:adjustRightInd w:val="0"/>
        <w:snapToGrid w:val="0"/>
        <w:spacing w:line="288" w:lineRule="auto"/>
        <w:jc w:val="center"/>
        <w:rPr>
          <w:rFonts w:ascii="黑体" w:hAnsi="黑体" w:eastAsia="黑体"/>
          <w:sz w:val="36"/>
          <w:szCs w:val="36"/>
        </w:rPr>
      </w:pPr>
      <w:r>
        <w:rPr>
          <w:rFonts w:hint="eastAsia" w:ascii="黑体" w:hAnsi="黑体" w:eastAsia="黑体"/>
          <w:sz w:val="36"/>
          <w:szCs w:val="36"/>
        </w:rPr>
        <w:t>中华人民共和国生态环境部制</w:t>
      </w:r>
    </w:p>
    <w:p>
      <w:pPr>
        <w:adjustRightInd w:val="0"/>
        <w:snapToGrid w:val="0"/>
        <w:spacing w:line="288" w:lineRule="auto"/>
        <w:ind w:firstLine="1040"/>
        <w:rPr>
          <w:rFonts w:ascii="仿宋_GB2312" w:eastAsia="仿宋_GB2312"/>
          <w:sz w:val="36"/>
          <w:szCs w:val="36"/>
        </w:rPr>
        <w:sectPr>
          <w:footerReference r:id="rId3" w:type="default"/>
          <w:footerReference r:id="rId4" w:type="even"/>
          <w:pgSz w:w="11906" w:h="16838"/>
          <w:pgMar w:top="1701" w:right="1531" w:bottom="1701" w:left="1531" w:header="851" w:footer="1077" w:gutter="0"/>
          <w:cols w:space="720" w:num="1"/>
          <w:docGrid w:linePitch="312" w:charSpace="0"/>
        </w:sectPr>
      </w:pPr>
    </w:p>
    <w:p>
      <w:pPr>
        <w:pStyle w:val="19"/>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6"/>
        <w:gridCol w:w="1876"/>
        <w:gridCol w:w="1637"/>
        <w:gridCol w:w="389"/>
        <w:gridCol w:w="1701"/>
        <w:gridCol w:w="12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建设项目名称</w:t>
            </w:r>
          </w:p>
        </w:tc>
        <w:tc>
          <w:tcPr>
            <w:tcW w:w="6488" w:type="dxa"/>
            <w:gridSpan w:val="5"/>
            <w:vAlign w:val="center"/>
          </w:tcPr>
          <w:p>
            <w:pPr>
              <w:adjustRightInd w:val="0"/>
              <w:snapToGrid w:val="0"/>
              <w:jc w:val="center"/>
              <w:rPr>
                <w:sz w:val="24"/>
              </w:rPr>
            </w:pPr>
            <w:r>
              <w:rPr>
                <w:rFonts w:hint="eastAsia"/>
                <w:sz w:val="24"/>
              </w:rPr>
              <w:t>水产加工品（干制水产品）生产、塑料制品生产加工项目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项目代码</w:t>
            </w:r>
          </w:p>
        </w:tc>
        <w:tc>
          <w:tcPr>
            <w:tcW w:w="6488" w:type="dxa"/>
            <w:gridSpan w:val="5"/>
            <w:vAlign w:val="center"/>
          </w:tcPr>
          <w:p>
            <w:pPr>
              <w:adjustRightInd w:val="0"/>
              <w:snapToGrid w:val="0"/>
              <w:jc w:val="center"/>
              <w:rPr>
                <w:sz w:val="24"/>
              </w:rPr>
            </w:pPr>
            <w:r>
              <w:rPr>
                <w:rFonts w:hint="eastAsia"/>
                <w:sz w:val="24"/>
              </w:rPr>
              <w:t>2101-341171-04-02-525174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建设单位联系人</w:t>
            </w:r>
          </w:p>
        </w:tc>
        <w:tc>
          <w:tcPr>
            <w:tcW w:w="1637" w:type="dxa"/>
            <w:vAlign w:val="center"/>
          </w:tcPr>
          <w:p>
            <w:pPr>
              <w:adjustRightInd w:val="0"/>
              <w:snapToGrid w:val="0"/>
              <w:jc w:val="center"/>
              <w:rPr>
                <w:sz w:val="24"/>
              </w:rPr>
            </w:pPr>
            <w:r>
              <w:rPr>
                <w:rFonts w:hint="eastAsia" w:hAnsi="宋体"/>
                <w:sz w:val="24"/>
              </w:rPr>
              <w:t>张英杰</w:t>
            </w:r>
          </w:p>
        </w:tc>
        <w:tc>
          <w:tcPr>
            <w:tcW w:w="2212" w:type="dxa"/>
            <w:gridSpan w:val="3"/>
            <w:vAlign w:val="center"/>
          </w:tcPr>
          <w:p>
            <w:pPr>
              <w:adjustRightInd w:val="0"/>
              <w:snapToGrid w:val="0"/>
              <w:jc w:val="center"/>
              <w:rPr>
                <w:sz w:val="24"/>
              </w:rPr>
            </w:pPr>
            <w:r>
              <w:rPr>
                <w:rFonts w:hAnsi="宋体"/>
                <w:sz w:val="24"/>
              </w:rPr>
              <w:t>联系方式</w:t>
            </w:r>
          </w:p>
        </w:tc>
        <w:tc>
          <w:tcPr>
            <w:tcW w:w="2639" w:type="dxa"/>
            <w:vAlign w:val="center"/>
          </w:tcPr>
          <w:p>
            <w:pPr>
              <w:adjustRightInd w:val="0"/>
              <w:snapToGrid w:val="0"/>
              <w:jc w:val="center"/>
              <w:rPr>
                <w:sz w:val="24"/>
              </w:rPr>
            </w:pPr>
            <w:r>
              <w:rPr>
                <w:rFonts w:hint="eastAsia"/>
                <w:sz w:val="24"/>
              </w:rPr>
              <w:t>19105501314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建设地点</w:t>
            </w:r>
          </w:p>
        </w:tc>
        <w:tc>
          <w:tcPr>
            <w:tcW w:w="6488" w:type="dxa"/>
            <w:gridSpan w:val="5"/>
            <w:vAlign w:val="center"/>
          </w:tcPr>
          <w:p>
            <w:pPr>
              <w:adjustRightInd w:val="0"/>
              <w:snapToGrid w:val="0"/>
              <w:jc w:val="center"/>
              <w:rPr>
                <w:sz w:val="24"/>
              </w:rPr>
            </w:pPr>
            <w:r>
              <w:rPr>
                <w:rFonts w:hint="eastAsia" w:hAnsi="宋体"/>
                <w:sz w:val="24"/>
              </w:rPr>
              <w:t>滁州市苏滁产业园常州南路611号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地理坐标</w:t>
            </w:r>
          </w:p>
        </w:tc>
        <w:tc>
          <w:tcPr>
            <w:tcW w:w="6488" w:type="dxa"/>
            <w:gridSpan w:val="5"/>
            <w:vAlign w:val="center"/>
          </w:tcPr>
          <w:p>
            <w:pPr>
              <w:jc w:val="center"/>
              <w:rPr>
                <w:sz w:val="24"/>
              </w:rPr>
            </w:pPr>
            <w:r>
              <w:rPr>
                <w:rFonts w:hAnsi="宋体"/>
                <w:sz w:val="24"/>
              </w:rPr>
              <w:t>（</w:t>
            </w:r>
            <w:r>
              <w:rPr>
                <w:rFonts w:hint="eastAsia"/>
                <w:sz w:val="24"/>
                <w:u w:val="single"/>
              </w:rPr>
              <w:t>118</w:t>
            </w:r>
            <w:r>
              <w:rPr>
                <w:sz w:val="24"/>
                <w:u w:val="single"/>
              </w:rPr>
              <w:t xml:space="preserve"> </w:t>
            </w:r>
            <w:r>
              <w:rPr>
                <w:rFonts w:hAnsi="宋体"/>
                <w:sz w:val="24"/>
              </w:rPr>
              <w:t>度</w:t>
            </w:r>
            <w:r>
              <w:rPr>
                <w:rFonts w:hint="eastAsia"/>
                <w:sz w:val="24"/>
                <w:u w:val="single"/>
              </w:rPr>
              <w:t>23</w:t>
            </w:r>
            <w:r>
              <w:rPr>
                <w:sz w:val="24"/>
                <w:u w:val="single"/>
              </w:rPr>
              <w:t xml:space="preserve"> </w:t>
            </w:r>
            <w:r>
              <w:rPr>
                <w:rFonts w:hAnsi="宋体"/>
                <w:sz w:val="24"/>
              </w:rPr>
              <w:t>分</w:t>
            </w:r>
            <w:r>
              <w:rPr>
                <w:rFonts w:hint="eastAsia"/>
                <w:sz w:val="24"/>
                <w:u w:val="single"/>
              </w:rPr>
              <w:t>29.743</w:t>
            </w:r>
            <w:r>
              <w:rPr>
                <w:rFonts w:hAnsi="宋体"/>
                <w:sz w:val="24"/>
              </w:rPr>
              <w:t>秒，</w:t>
            </w:r>
            <w:r>
              <w:rPr>
                <w:rFonts w:hint="eastAsia"/>
                <w:sz w:val="24"/>
                <w:u w:val="single"/>
              </w:rPr>
              <w:t>32</w:t>
            </w:r>
            <w:r>
              <w:rPr>
                <w:rFonts w:hAnsi="宋体"/>
                <w:sz w:val="24"/>
              </w:rPr>
              <w:t>度</w:t>
            </w:r>
            <w:r>
              <w:rPr>
                <w:rFonts w:hint="eastAsia"/>
                <w:sz w:val="24"/>
                <w:u w:val="single"/>
              </w:rPr>
              <w:t>17</w:t>
            </w:r>
            <w:r>
              <w:rPr>
                <w:rFonts w:hAnsi="宋体"/>
                <w:sz w:val="24"/>
              </w:rPr>
              <w:t>分</w:t>
            </w:r>
            <w:r>
              <w:rPr>
                <w:rFonts w:hint="eastAsia"/>
                <w:sz w:val="24"/>
                <w:u w:val="single"/>
              </w:rPr>
              <w:t>48.945</w:t>
            </w:r>
            <w:r>
              <w:rPr>
                <w:rFonts w:hAnsi="宋体"/>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国民经济</w:t>
            </w:r>
          </w:p>
          <w:p>
            <w:pPr>
              <w:adjustRightInd w:val="0"/>
              <w:snapToGrid w:val="0"/>
              <w:jc w:val="center"/>
              <w:rPr>
                <w:sz w:val="24"/>
              </w:rPr>
            </w:pPr>
            <w:r>
              <w:rPr>
                <w:rFonts w:hAnsi="宋体"/>
                <w:sz w:val="24"/>
              </w:rPr>
              <w:t>行业类别</w:t>
            </w:r>
          </w:p>
        </w:tc>
        <w:tc>
          <w:tcPr>
            <w:tcW w:w="2026" w:type="dxa"/>
            <w:gridSpan w:val="2"/>
            <w:vAlign w:val="center"/>
          </w:tcPr>
          <w:p>
            <w:pPr>
              <w:adjustRightInd w:val="0"/>
              <w:snapToGrid w:val="0"/>
              <w:jc w:val="center"/>
              <w:rPr>
                <w:sz w:val="24"/>
              </w:rPr>
            </w:pPr>
            <w:r>
              <w:rPr>
                <w:rFonts w:hint="eastAsia"/>
                <w:bCs/>
                <w:sz w:val="24"/>
                <w:szCs w:val="22"/>
              </w:rPr>
              <w:t>C1499 其他未列明食品制造；C2926塑料包装箱及容器制造</w:t>
            </w:r>
          </w:p>
        </w:tc>
        <w:tc>
          <w:tcPr>
            <w:tcW w:w="1701" w:type="dxa"/>
            <w:vAlign w:val="center"/>
          </w:tcPr>
          <w:p>
            <w:pPr>
              <w:adjustRightInd w:val="0"/>
              <w:snapToGrid w:val="0"/>
              <w:jc w:val="center"/>
              <w:rPr>
                <w:sz w:val="24"/>
              </w:rPr>
            </w:pPr>
            <w:bookmarkStart w:id="1" w:name="_Hlk49843745"/>
            <w:r>
              <w:rPr>
                <w:rFonts w:hAnsi="宋体"/>
                <w:sz w:val="24"/>
              </w:rPr>
              <w:t>建设项目</w:t>
            </w:r>
          </w:p>
          <w:p>
            <w:pPr>
              <w:adjustRightInd w:val="0"/>
              <w:snapToGrid w:val="0"/>
              <w:jc w:val="center"/>
              <w:rPr>
                <w:sz w:val="24"/>
              </w:rPr>
            </w:pPr>
            <w:r>
              <w:rPr>
                <w:rFonts w:hAnsi="宋体"/>
                <w:sz w:val="24"/>
              </w:rPr>
              <w:t>行业类别</w:t>
            </w:r>
            <w:bookmarkEnd w:id="1"/>
          </w:p>
        </w:tc>
        <w:tc>
          <w:tcPr>
            <w:tcW w:w="2761" w:type="dxa"/>
            <w:gridSpan w:val="2"/>
            <w:vAlign w:val="center"/>
          </w:tcPr>
          <w:p>
            <w:pPr>
              <w:adjustRightInd w:val="0"/>
              <w:snapToGrid w:val="0"/>
              <w:jc w:val="center"/>
              <w:rPr>
                <w:sz w:val="24"/>
              </w:rPr>
            </w:pPr>
            <w:r>
              <w:rPr>
                <w:rFonts w:hint="eastAsia"/>
                <w:sz w:val="24"/>
              </w:rPr>
              <w:t>十一、食品制造业 24其他食品制造；二十六、橡胶和塑料制品业 53 塑料制品业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建设性质</w:t>
            </w:r>
          </w:p>
        </w:tc>
        <w:tc>
          <w:tcPr>
            <w:tcW w:w="2026" w:type="dxa"/>
            <w:gridSpan w:val="2"/>
            <w:vAlign w:val="center"/>
          </w:tcPr>
          <w:p>
            <w:pPr>
              <w:jc w:val="left"/>
              <w:rPr>
                <w:sz w:val="24"/>
              </w:rPr>
            </w:pPr>
            <w:r>
              <w:rPr>
                <w:sz w:val="24"/>
              </w:rPr>
              <w:t>□</w:t>
            </w:r>
            <w:r>
              <w:rPr>
                <w:rFonts w:hAnsi="宋体"/>
                <w:sz w:val="24"/>
              </w:rPr>
              <w:t>新建</w:t>
            </w:r>
          </w:p>
          <w:p>
            <w:pPr>
              <w:jc w:val="left"/>
              <w:rPr>
                <w:sz w:val="24"/>
              </w:rPr>
            </w:pPr>
            <w:r>
              <w:rPr>
                <w:sz w:val="24"/>
              </w:rPr>
              <w:t>□</w:t>
            </w:r>
            <w:r>
              <w:rPr>
                <w:rFonts w:hAnsi="宋体"/>
                <w:sz w:val="24"/>
              </w:rPr>
              <w:t>改建</w:t>
            </w:r>
          </w:p>
          <w:p>
            <w:pPr>
              <w:jc w:val="left"/>
              <w:rPr>
                <w:sz w:val="24"/>
              </w:rPr>
            </w:pPr>
            <w:r>
              <w:rPr>
                <w:rFonts w:hint="eastAsia"/>
                <w:sz w:val="24"/>
              </w:rPr>
              <w:t>☑</w:t>
            </w:r>
            <w:r>
              <w:rPr>
                <w:rFonts w:hAnsi="宋体"/>
                <w:sz w:val="24"/>
              </w:rPr>
              <w:t>扩建</w:t>
            </w:r>
          </w:p>
          <w:p>
            <w:pPr>
              <w:jc w:val="left"/>
              <w:rPr>
                <w:sz w:val="24"/>
              </w:rPr>
            </w:pPr>
            <w:r>
              <w:rPr>
                <w:sz w:val="24"/>
              </w:rPr>
              <w:t>□</w:t>
            </w:r>
            <w:r>
              <w:rPr>
                <w:rFonts w:hAnsi="宋体"/>
                <w:sz w:val="24"/>
              </w:rPr>
              <w:t>技术改造</w:t>
            </w:r>
          </w:p>
        </w:tc>
        <w:tc>
          <w:tcPr>
            <w:tcW w:w="1701" w:type="dxa"/>
            <w:vAlign w:val="center"/>
          </w:tcPr>
          <w:p>
            <w:pPr>
              <w:adjustRightInd w:val="0"/>
              <w:snapToGrid w:val="0"/>
              <w:jc w:val="center"/>
              <w:rPr>
                <w:sz w:val="24"/>
              </w:rPr>
            </w:pPr>
            <w:r>
              <w:rPr>
                <w:rFonts w:hAnsi="宋体"/>
                <w:sz w:val="24"/>
              </w:rPr>
              <w:t>建设项目</w:t>
            </w:r>
          </w:p>
          <w:p>
            <w:pPr>
              <w:adjustRightInd w:val="0"/>
              <w:snapToGrid w:val="0"/>
              <w:jc w:val="center"/>
              <w:rPr>
                <w:sz w:val="24"/>
              </w:rPr>
            </w:pPr>
            <w:r>
              <w:rPr>
                <w:rFonts w:hAnsi="宋体"/>
                <w:sz w:val="24"/>
              </w:rPr>
              <w:t>申报情形</w:t>
            </w:r>
          </w:p>
        </w:tc>
        <w:tc>
          <w:tcPr>
            <w:tcW w:w="2761" w:type="dxa"/>
            <w:gridSpan w:val="2"/>
            <w:vAlign w:val="center"/>
          </w:tcPr>
          <w:p>
            <w:pPr>
              <w:jc w:val="left"/>
              <w:rPr>
                <w:sz w:val="24"/>
              </w:rPr>
            </w:pPr>
            <w:r>
              <w:rPr>
                <w:rFonts w:hint="eastAsia"/>
                <w:sz w:val="24"/>
              </w:rPr>
              <w:t>☑</w:t>
            </w:r>
            <w:r>
              <w:rPr>
                <w:rFonts w:hAnsi="宋体"/>
                <w:sz w:val="24"/>
              </w:rPr>
              <w:t>首次申报项目</w:t>
            </w:r>
            <w:r>
              <w:rPr>
                <w:sz w:val="24"/>
              </w:rPr>
              <w:t xml:space="preserve">             </w:t>
            </w:r>
          </w:p>
          <w:p>
            <w:pPr>
              <w:jc w:val="left"/>
              <w:rPr>
                <w:sz w:val="24"/>
              </w:rPr>
            </w:pPr>
            <w:r>
              <w:rPr>
                <w:sz w:val="24"/>
              </w:rPr>
              <w:t>□</w:t>
            </w:r>
            <w:r>
              <w:rPr>
                <w:rFonts w:hAnsi="宋体"/>
                <w:sz w:val="24"/>
              </w:rPr>
              <w:t>不予批准后再次申报项目</w:t>
            </w:r>
          </w:p>
          <w:p>
            <w:pPr>
              <w:jc w:val="left"/>
              <w:rPr>
                <w:sz w:val="24"/>
              </w:rPr>
            </w:pPr>
            <w:r>
              <w:rPr>
                <w:sz w:val="24"/>
              </w:rPr>
              <w:t>□</w:t>
            </w:r>
            <w:r>
              <w:rPr>
                <w:rFonts w:hAnsi="宋体"/>
                <w:sz w:val="24"/>
              </w:rPr>
              <w:t>超五年重新审核项目</w:t>
            </w:r>
            <w:r>
              <w:rPr>
                <w:sz w:val="24"/>
              </w:rPr>
              <w:t xml:space="preserve">     </w:t>
            </w:r>
          </w:p>
          <w:p>
            <w:pPr>
              <w:jc w:val="left"/>
              <w:rPr>
                <w:sz w:val="24"/>
              </w:rPr>
            </w:pPr>
            <w:r>
              <w:rPr>
                <w:sz w:val="24"/>
              </w:rPr>
              <w:t>□</w:t>
            </w:r>
            <w:r>
              <w:rPr>
                <w:rFonts w:hAnsi="宋体"/>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项目备案部门</w:t>
            </w:r>
          </w:p>
        </w:tc>
        <w:tc>
          <w:tcPr>
            <w:tcW w:w="2026" w:type="dxa"/>
            <w:gridSpan w:val="2"/>
            <w:vAlign w:val="center"/>
          </w:tcPr>
          <w:p>
            <w:pPr>
              <w:adjustRightInd w:val="0"/>
              <w:snapToGrid w:val="0"/>
              <w:jc w:val="center"/>
              <w:rPr>
                <w:sz w:val="24"/>
              </w:rPr>
            </w:pPr>
            <w:r>
              <w:rPr>
                <w:sz w:val="24"/>
              </w:rPr>
              <w:t>苏滁产业园经发局</w:t>
            </w:r>
          </w:p>
        </w:tc>
        <w:tc>
          <w:tcPr>
            <w:tcW w:w="1701" w:type="dxa"/>
            <w:vAlign w:val="center"/>
          </w:tcPr>
          <w:p>
            <w:pPr>
              <w:adjustRightInd w:val="0"/>
              <w:snapToGrid w:val="0"/>
              <w:jc w:val="center"/>
              <w:rPr>
                <w:sz w:val="24"/>
              </w:rPr>
            </w:pPr>
            <w:r>
              <w:rPr>
                <w:rFonts w:hAnsi="宋体"/>
                <w:sz w:val="24"/>
              </w:rPr>
              <w:t>项目备案文号</w:t>
            </w:r>
          </w:p>
        </w:tc>
        <w:tc>
          <w:tcPr>
            <w:tcW w:w="2761" w:type="dxa"/>
            <w:gridSpan w:val="2"/>
            <w:vAlign w:val="center"/>
          </w:tcPr>
          <w:p>
            <w:pPr>
              <w:adjustRightInd w:val="0"/>
              <w:snapToGrid w:val="0"/>
              <w:jc w:val="center"/>
              <w:rPr>
                <w:sz w:val="24"/>
              </w:rPr>
            </w:pPr>
            <w:r>
              <w:rPr>
                <w:rFonts w:hint="eastAsia"/>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总投资（万元）</w:t>
            </w:r>
          </w:p>
        </w:tc>
        <w:tc>
          <w:tcPr>
            <w:tcW w:w="2026" w:type="dxa"/>
            <w:gridSpan w:val="2"/>
            <w:vAlign w:val="center"/>
          </w:tcPr>
          <w:p>
            <w:pPr>
              <w:adjustRightInd w:val="0"/>
              <w:snapToGrid w:val="0"/>
              <w:jc w:val="center"/>
              <w:rPr>
                <w:sz w:val="24"/>
              </w:rPr>
            </w:pPr>
            <w:r>
              <w:rPr>
                <w:rFonts w:hint="eastAsia"/>
                <w:sz w:val="24"/>
              </w:rPr>
              <w:t>5000</w:t>
            </w:r>
          </w:p>
        </w:tc>
        <w:tc>
          <w:tcPr>
            <w:tcW w:w="1701" w:type="dxa"/>
            <w:tcMar>
              <w:top w:w="16" w:type="dxa"/>
              <w:left w:w="16" w:type="dxa"/>
              <w:right w:w="16" w:type="dxa"/>
            </w:tcMar>
            <w:vAlign w:val="center"/>
          </w:tcPr>
          <w:p>
            <w:pPr>
              <w:adjustRightInd w:val="0"/>
              <w:snapToGrid w:val="0"/>
              <w:jc w:val="center"/>
              <w:rPr>
                <w:rFonts w:hAnsi="宋体"/>
                <w:sz w:val="24"/>
              </w:rPr>
            </w:pPr>
            <w:r>
              <w:rPr>
                <w:rFonts w:hAnsi="宋体"/>
                <w:sz w:val="24"/>
              </w:rPr>
              <w:t>环保投资</w:t>
            </w:r>
          </w:p>
          <w:p>
            <w:pPr>
              <w:adjustRightInd w:val="0"/>
              <w:snapToGrid w:val="0"/>
              <w:jc w:val="center"/>
              <w:rPr>
                <w:sz w:val="24"/>
              </w:rPr>
            </w:pPr>
            <w:r>
              <w:rPr>
                <w:rFonts w:hAnsi="宋体"/>
                <w:sz w:val="24"/>
              </w:rPr>
              <w:t>（万元）</w:t>
            </w:r>
          </w:p>
        </w:tc>
        <w:tc>
          <w:tcPr>
            <w:tcW w:w="2761" w:type="dxa"/>
            <w:gridSpan w:val="2"/>
            <w:vAlign w:val="center"/>
          </w:tcPr>
          <w:p>
            <w:pPr>
              <w:adjustRightInd w:val="0"/>
              <w:snapToGrid w:val="0"/>
              <w:jc w:val="center"/>
              <w:rPr>
                <w:sz w:val="24"/>
              </w:rPr>
            </w:pPr>
            <w:r>
              <w:rPr>
                <w:rFonts w:hint="eastAsia"/>
                <w:sz w:val="24"/>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环保投资占比（</w:t>
            </w:r>
            <w:r>
              <w:rPr>
                <w:sz w:val="24"/>
              </w:rPr>
              <w:t>%</w:t>
            </w:r>
            <w:r>
              <w:rPr>
                <w:rFonts w:hAnsi="宋体"/>
                <w:sz w:val="24"/>
              </w:rPr>
              <w:t>）</w:t>
            </w:r>
          </w:p>
        </w:tc>
        <w:tc>
          <w:tcPr>
            <w:tcW w:w="2026" w:type="dxa"/>
            <w:gridSpan w:val="2"/>
            <w:vAlign w:val="center"/>
          </w:tcPr>
          <w:p>
            <w:pPr>
              <w:adjustRightInd w:val="0"/>
              <w:snapToGrid w:val="0"/>
              <w:jc w:val="center"/>
              <w:rPr>
                <w:sz w:val="24"/>
              </w:rPr>
            </w:pPr>
            <w:r>
              <w:rPr>
                <w:rFonts w:hint="eastAsia"/>
                <w:sz w:val="24"/>
              </w:rPr>
              <w:t>0.8%</w:t>
            </w:r>
          </w:p>
        </w:tc>
        <w:tc>
          <w:tcPr>
            <w:tcW w:w="1701" w:type="dxa"/>
            <w:tcMar>
              <w:top w:w="16" w:type="dxa"/>
              <w:left w:w="16" w:type="dxa"/>
              <w:right w:w="16" w:type="dxa"/>
            </w:tcMar>
            <w:vAlign w:val="center"/>
          </w:tcPr>
          <w:p>
            <w:pPr>
              <w:adjustRightInd w:val="0"/>
              <w:snapToGrid w:val="0"/>
              <w:jc w:val="center"/>
              <w:rPr>
                <w:sz w:val="24"/>
              </w:rPr>
            </w:pPr>
            <w:r>
              <w:rPr>
                <w:rFonts w:hAnsi="宋体"/>
                <w:sz w:val="24"/>
              </w:rPr>
              <w:t>施工工期</w:t>
            </w:r>
            <w:r>
              <w:rPr>
                <w:rFonts w:hint="eastAsia" w:hAnsi="宋体"/>
                <w:sz w:val="24"/>
              </w:rPr>
              <w:t>（月）</w:t>
            </w:r>
          </w:p>
        </w:tc>
        <w:tc>
          <w:tcPr>
            <w:tcW w:w="2761" w:type="dxa"/>
            <w:gridSpan w:val="2"/>
            <w:vAlign w:val="center"/>
          </w:tcPr>
          <w:p>
            <w:pPr>
              <w:adjustRightInd w:val="0"/>
              <w:snapToGrid w:val="0"/>
              <w:jc w:val="center"/>
              <w:rPr>
                <w:sz w:val="24"/>
              </w:rPr>
            </w:pPr>
            <w:r>
              <w:rPr>
                <w:rFonts w:hint="eastAsia"/>
                <w:sz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gridSpan w:val="2"/>
            <w:tcMar>
              <w:top w:w="16" w:type="dxa"/>
              <w:left w:w="16" w:type="dxa"/>
              <w:right w:w="16" w:type="dxa"/>
            </w:tcMar>
            <w:vAlign w:val="center"/>
          </w:tcPr>
          <w:p>
            <w:pPr>
              <w:adjustRightInd w:val="0"/>
              <w:snapToGrid w:val="0"/>
              <w:jc w:val="center"/>
              <w:rPr>
                <w:sz w:val="24"/>
              </w:rPr>
            </w:pPr>
            <w:r>
              <w:rPr>
                <w:rFonts w:hAnsi="宋体"/>
                <w:sz w:val="24"/>
              </w:rPr>
              <w:t>是否开工建设</w:t>
            </w:r>
          </w:p>
        </w:tc>
        <w:tc>
          <w:tcPr>
            <w:tcW w:w="2026" w:type="dxa"/>
            <w:gridSpan w:val="2"/>
            <w:vAlign w:val="center"/>
          </w:tcPr>
          <w:p>
            <w:pPr>
              <w:adjustRightInd w:val="0"/>
              <w:snapToGrid w:val="0"/>
              <w:rPr>
                <w:sz w:val="24"/>
              </w:rPr>
            </w:pPr>
            <w:r>
              <w:rPr>
                <w:sz w:val="24"/>
              </w:rPr>
              <w:t>√</w:t>
            </w:r>
            <w:r>
              <w:rPr>
                <w:rFonts w:hAnsi="宋体"/>
                <w:sz w:val="24"/>
              </w:rPr>
              <w:t>否</w:t>
            </w:r>
          </w:p>
          <w:p>
            <w:pPr>
              <w:adjustRightInd w:val="0"/>
              <w:snapToGrid w:val="0"/>
              <w:rPr>
                <w:sz w:val="24"/>
              </w:rPr>
            </w:pPr>
            <w:r>
              <w:rPr>
                <w:sz w:val="24"/>
              </w:rPr>
              <w:sym w:font="Wingdings 2" w:char="00A3"/>
            </w:r>
            <w:r>
              <w:rPr>
                <w:rFonts w:hAnsi="宋体"/>
                <w:sz w:val="24"/>
              </w:rPr>
              <w:t>是：</w:t>
            </w:r>
            <w:r>
              <w:rPr>
                <w:sz w:val="24"/>
                <w:u w:val="single"/>
              </w:rPr>
              <w:t xml:space="preserve">             </w:t>
            </w:r>
          </w:p>
        </w:tc>
        <w:tc>
          <w:tcPr>
            <w:tcW w:w="1701" w:type="dxa"/>
            <w:tcMar>
              <w:top w:w="16" w:type="dxa"/>
              <w:left w:w="16" w:type="dxa"/>
              <w:right w:w="16" w:type="dxa"/>
            </w:tcMar>
            <w:vAlign w:val="center"/>
          </w:tcPr>
          <w:p>
            <w:pPr>
              <w:adjustRightInd w:val="0"/>
              <w:snapToGrid w:val="0"/>
              <w:jc w:val="center"/>
              <w:rPr>
                <w:spacing w:val="-6"/>
                <w:sz w:val="24"/>
              </w:rPr>
            </w:pPr>
            <w:r>
              <w:rPr>
                <w:rFonts w:hAnsi="宋体"/>
                <w:spacing w:val="-6"/>
                <w:sz w:val="24"/>
              </w:rPr>
              <w:t>用地（用海）</w:t>
            </w:r>
          </w:p>
          <w:p>
            <w:pPr>
              <w:adjustRightInd w:val="0"/>
              <w:snapToGrid w:val="0"/>
              <w:jc w:val="center"/>
              <w:rPr>
                <w:sz w:val="24"/>
              </w:rPr>
            </w:pPr>
            <w:r>
              <w:rPr>
                <w:rFonts w:hAnsi="宋体"/>
                <w:spacing w:val="-6"/>
                <w:sz w:val="24"/>
              </w:rPr>
              <w:t>面积（</w:t>
            </w:r>
            <w:r>
              <w:rPr>
                <w:spacing w:val="-6"/>
                <w:sz w:val="24"/>
              </w:rPr>
              <w:t>m</w:t>
            </w:r>
            <w:r>
              <w:rPr>
                <w:spacing w:val="-6"/>
                <w:sz w:val="24"/>
                <w:vertAlign w:val="superscript"/>
              </w:rPr>
              <w:t>2</w:t>
            </w:r>
            <w:r>
              <w:rPr>
                <w:rFonts w:hAnsi="宋体"/>
                <w:spacing w:val="-6"/>
                <w:sz w:val="24"/>
              </w:rPr>
              <w:t>）</w:t>
            </w:r>
          </w:p>
        </w:tc>
        <w:tc>
          <w:tcPr>
            <w:tcW w:w="2761" w:type="dxa"/>
            <w:gridSpan w:val="2"/>
            <w:vAlign w:val="center"/>
          </w:tcPr>
          <w:p>
            <w:pPr>
              <w:adjustRightInd w:val="0"/>
              <w:snapToGrid w:val="0"/>
              <w:jc w:val="center"/>
              <w:rPr>
                <w:sz w:val="24"/>
              </w:rPr>
            </w:pPr>
            <w:r>
              <w:rPr>
                <w:rFonts w:hint="eastAsia"/>
                <w:sz w:val="24"/>
              </w:rPr>
              <w:t>7477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382" w:type="dxa"/>
            <w:gridSpan w:val="2"/>
            <w:vAlign w:val="center"/>
          </w:tcPr>
          <w:p>
            <w:pPr>
              <w:autoSpaceDE w:val="0"/>
              <w:autoSpaceDN w:val="0"/>
              <w:adjustRightInd w:val="0"/>
              <w:snapToGrid w:val="0"/>
              <w:jc w:val="center"/>
              <w:rPr>
                <w:kern w:val="0"/>
                <w:sz w:val="24"/>
              </w:rPr>
            </w:pPr>
            <w:r>
              <w:rPr>
                <w:rFonts w:hAnsi="宋体"/>
                <w:kern w:val="0"/>
                <w:sz w:val="24"/>
              </w:rPr>
              <w:t>专项评价设置情况</w:t>
            </w:r>
          </w:p>
        </w:tc>
        <w:tc>
          <w:tcPr>
            <w:tcW w:w="6488" w:type="dxa"/>
            <w:gridSpan w:val="5"/>
            <w:vAlign w:val="center"/>
          </w:tcPr>
          <w:p>
            <w:pPr>
              <w:autoSpaceDE w:val="0"/>
              <w:autoSpaceDN w:val="0"/>
              <w:adjustRightInd w:val="0"/>
              <w:snapToGrid w:val="0"/>
              <w:jc w:val="center"/>
              <w:rPr>
                <w:kern w:val="0"/>
                <w:sz w:val="24"/>
              </w:rPr>
            </w:pPr>
            <w:r>
              <w:rPr>
                <w:rFonts w:hint="eastAsia"/>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gridSpan w:val="2"/>
            <w:vAlign w:val="center"/>
          </w:tcPr>
          <w:p>
            <w:pPr>
              <w:autoSpaceDE w:val="0"/>
              <w:autoSpaceDN w:val="0"/>
              <w:adjustRightInd w:val="0"/>
              <w:snapToGrid w:val="0"/>
              <w:jc w:val="center"/>
              <w:rPr>
                <w:kern w:val="0"/>
                <w:sz w:val="24"/>
              </w:rPr>
            </w:pPr>
            <w:r>
              <w:rPr>
                <w:rFonts w:hAnsi="宋体"/>
                <w:sz w:val="24"/>
              </w:rPr>
              <w:t>规划情况</w:t>
            </w:r>
          </w:p>
        </w:tc>
        <w:tc>
          <w:tcPr>
            <w:tcW w:w="6488" w:type="dxa"/>
            <w:gridSpan w:val="5"/>
            <w:vAlign w:val="center"/>
          </w:tcPr>
          <w:p>
            <w:pPr>
              <w:spacing w:line="360" w:lineRule="auto"/>
              <w:ind w:left="479" w:leftChars="228" w:firstLine="0" w:firstLineChars="0"/>
              <w:jc w:val="left"/>
              <w:rPr>
                <w:rFonts w:hint="eastAsia"/>
                <w:kern w:val="0"/>
                <w:sz w:val="24"/>
              </w:rPr>
            </w:pPr>
            <w:r>
              <w:rPr>
                <w:rFonts w:hint="eastAsia"/>
                <w:kern w:val="0"/>
                <w:sz w:val="24"/>
              </w:rPr>
              <w:t>规划名称：《苏滁现代产业园总体规划（2012~2030）》审批机关：安徽省人民政府</w:t>
            </w:r>
          </w:p>
          <w:p>
            <w:pPr>
              <w:spacing w:line="360" w:lineRule="auto"/>
              <w:ind w:firstLine="480" w:firstLineChars="200"/>
              <w:jc w:val="left"/>
            </w:pPr>
            <w:r>
              <w:rPr>
                <w:rFonts w:hint="eastAsia"/>
                <w:kern w:val="0"/>
                <w:sz w:val="24"/>
              </w:rPr>
              <w:t>审批文件名称及文号：《安徽省人民政府关于苏滁现代产业园总体规划的批复》皖政秘【2013】8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gridSpan w:val="2"/>
            <w:vAlign w:val="center"/>
          </w:tcPr>
          <w:p>
            <w:pPr>
              <w:adjustRightInd w:val="0"/>
              <w:snapToGrid w:val="0"/>
              <w:jc w:val="center"/>
              <w:rPr>
                <w:sz w:val="24"/>
              </w:rPr>
            </w:pPr>
            <w:r>
              <w:rPr>
                <w:rFonts w:hAnsi="宋体"/>
                <w:sz w:val="24"/>
              </w:rPr>
              <w:t>规划环境影响</w:t>
            </w:r>
          </w:p>
          <w:p>
            <w:pPr>
              <w:adjustRightInd w:val="0"/>
              <w:snapToGrid w:val="0"/>
              <w:jc w:val="center"/>
              <w:rPr>
                <w:kern w:val="0"/>
                <w:sz w:val="24"/>
              </w:rPr>
            </w:pPr>
            <w:r>
              <w:rPr>
                <w:rFonts w:hAnsi="宋体"/>
                <w:sz w:val="24"/>
              </w:rPr>
              <w:t>评价情况</w:t>
            </w:r>
          </w:p>
        </w:tc>
        <w:tc>
          <w:tcPr>
            <w:tcW w:w="6488" w:type="dxa"/>
            <w:gridSpan w:val="5"/>
          </w:tcPr>
          <w:p>
            <w:pPr>
              <w:autoSpaceDE w:val="0"/>
              <w:autoSpaceDN w:val="0"/>
              <w:adjustRightInd w:val="0"/>
              <w:snapToGrid w:val="0"/>
              <w:spacing w:line="360" w:lineRule="auto"/>
              <w:ind w:firstLine="480" w:firstLineChars="200"/>
              <w:rPr>
                <w:kern w:val="0"/>
                <w:sz w:val="24"/>
              </w:rPr>
            </w:pPr>
            <w:r>
              <w:rPr>
                <w:rFonts w:hint="eastAsia"/>
                <w:kern w:val="0"/>
                <w:sz w:val="24"/>
              </w:rPr>
              <w:t>规划环评名称：《苏滁现代产业园规划环境影响报告书》；</w:t>
            </w:r>
          </w:p>
          <w:p>
            <w:pPr>
              <w:autoSpaceDE w:val="0"/>
              <w:autoSpaceDN w:val="0"/>
              <w:adjustRightInd w:val="0"/>
              <w:snapToGrid w:val="0"/>
              <w:spacing w:line="360" w:lineRule="auto"/>
              <w:ind w:firstLine="480" w:firstLineChars="200"/>
              <w:rPr>
                <w:kern w:val="0"/>
                <w:sz w:val="24"/>
              </w:rPr>
            </w:pPr>
            <w:r>
              <w:rPr>
                <w:rFonts w:hint="eastAsia"/>
                <w:kern w:val="0"/>
                <w:sz w:val="24"/>
              </w:rPr>
              <w:t>规划环评审批机关：安徽省生态环境厅；</w:t>
            </w:r>
          </w:p>
          <w:p>
            <w:pPr>
              <w:autoSpaceDE w:val="0"/>
              <w:autoSpaceDN w:val="0"/>
              <w:adjustRightInd w:val="0"/>
              <w:snapToGrid w:val="0"/>
              <w:spacing w:line="360" w:lineRule="auto"/>
              <w:ind w:firstLine="480" w:firstLineChars="200"/>
              <w:rPr>
                <w:kern w:val="0"/>
                <w:sz w:val="24"/>
              </w:rPr>
            </w:pPr>
            <w:r>
              <w:rPr>
                <w:rFonts w:hint="eastAsia"/>
                <w:kern w:val="0"/>
                <w:sz w:val="24"/>
              </w:rPr>
              <w:t>规划环评批复文件名称：《关于苏滁现代产业园规划环境影响跟踪评价审查意见的函》；</w:t>
            </w:r>
          </w:p>
          <w:p>
            <w:pPr>
              <w:autoSpaceDE w:val="0"/>
              <w:autoSpaceDN w:val="0"/>
              <w:adjustRightInd w:val="0"/>
              <w:snapToGrid w:val="0"/>
              <w:spacing w:line="360" w:lineRule="auto"/>
              <w:ind w:firstLine="480" w:firstLineChars="200"/>
              <w:rPr>
                <w:kern w:val="0"/>
                <w:sz w:val="24"/>
              </w:rPr>
            </w:pPr>
            <w:r>
              <w:rPr>
                <w:rFonts w:hint="eastAsia"/>
                <w:kern w:val="0"/>
                <w:sz w:val="24"/>
              </w:rPr>
              <w:t>规划环评批复文号：皖环函【2018】1590号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506" w:type="dxa"/>
            <w:vAlign w:val="center"/>
          </w:tcPr>
          <w:p>
            <w:pPr>
              <w:autoSpaceDE w:val="0"/>
              <w:autoSpaceDN w:val="0"/>
              <w:adjustRightInd w:val="0"/>
              <w:snapToGrid w:val="0"/>
              <w:jc w:val="center"/>
              <w:rPr>
                <w:kern w:val="0"/>
                <w:sz w:val="24"/>
              </w:rPr>
            </w:pPr>
            <w:r>
              <w:rPr>
                <w:rFonts w:hAnsi="宋体"/>
                <w:kern w:val="0"/>
                <w:sz w:val="24"/>
              </w:rPr>
              <w:t>规划及规划环境</w:t>
            </w:r>
          </w:p>
          <w:p>
            <w:pPr>
              <w:autoSpaceDE w:val="0"/>
              <w:autoSpaceDN w:val="0"/>
              <w:adjustRightInd w:val="0"/>
              <w:snapToGrid w:val="0"/>
              <w:jc w:val="center"/>
              <w:rPr>
                <w:kern w:val="0"/>
                <w:sz w:val="24"/>
              </w:rPr>
            </w:pPr>
            <w:r>
              <w:rPr>
                <w:rFonts w:hAnsi="宋体"/>
                <w:kern w:val="0"/>
                <w:sz w:val="24"/>
              </w:rPr>
              <w:t>影响评价符合性分析</w:t>
            </w:r>
          </w:p>
        </w:tc>
        <w:tc>
          <w:tcPr>
            <w:tcW w:w="8364" w:type="dxa"/>
            <w:gridSpan w:val="6"/>
            <w:vAlign w:val="center"/>
          </w:tcPr>
          <w:p>
            <w:pPr>
              <w:spacing w:line="360" w:lineRule="auto"/>
              <w:ind w:firstLine="474" w:firstLineChars="200"/>
              <w:jc w:val="left"/>
              <w:rPr>
                <w:b/>
                <w:spacing w:val="-2"/>
                <w:sz w:val="24"/>
              </w:rPr>
            </w:pPr>
            <w:r>
              <w:rPr>
                <w:rFonts w:hint="eastAsia"/>
                <w:b/>
                <w:spacing w:val="-2"/>
                <w:sz w:val="24"/>
              </w:rPr>
              <w:t>1、规划</w:t>
            </w:r>
            <w:r>
              <w:rPr>
                <w:b/>
                <w:spacing w:val="-2"/>
                <w:sz w:val="24"/>
              </w:rPr>
              <w:t>符合性分析</w:t>
            </w:r>
          </w:p>
          <w:p>
            <w:pPr>
              <w:spacing w:line="360" w:lineRule="auto"/>
              <w:ind w:firstLine="480" w:firstLineChars="200"/>
              <w:jc w:val="left"/>
              <w:rPr>
                <w:sz w:val="24"/>
              </w:rPr>
            </w:pPr>
            <w:r>
              <w:rPr>
                <w:rFonts w:hint="eastAsia" w:ascii="宋体" w:hAnsi="宋体"/>
                <w:sz w:val="24"/>
              </w:rPr>
              <w:t>①</w:t>
            </w:r>
            <w:r>
              <w:rPr>
                <w:rFonts w:hint="eastAsia"/>
                <w:sz w:val="24"/>
              </w:rPr>
              <w:t>用地规划相符性</w:t>
            </w:r>
          </w:p>
          <w:p>
            <w:pPr>
              <w:spacing w:line="360" w:lineRule="auto"/>
              <w:ind w:firstLine="480" w:firstLineChars="200"/>
              <w:jc w:val="left"/>
              <w:rPr>
                <w:sz w:val="24"/>
              </w:rPr>
            </w:pPr>
            <w:r>
              <w:rPr>
                <w:rFonts w:hint="eastAsia"/>
                <w:sz w:val="24"/>
              </w:rPr>
              <w:t>本项目位于中新苏滁高新技术产业开发区（原苏滁现代产业园）内，根据《苏滁现代产业园总体规划（2012-2030年）》，项目用地属于规划的工业用地，符合用地规划要求。</w:t>
            </w:r>
          </w:p>
          <w:p>
            <w:pPr>
              <w:spacing w:line="360" w:lineRule="auto"/>
              <w:ind w:firstLine="480" w:firstLineChars="200"/>
              <w:jc w:val="left"/>
              <w:rPr>
                <w:sz w:val="24"/>
              </w:rPr>
            </w:pPr>
            <w:r>
              <w:rPr>
                <w:rFonts w:hint="eastAsia" w:ascii="宋体" w:hAnsi="宋体"/>
                <w:sz w:val="24"/>
              </w:rPr>
              <w:t>②</w:t>
            </w:r>
            <w:r>
              <w:rPr>
                <w:rFonts w:hint="eastAsia"/>
                <w:sz w:val="24"/>
              </w:rPr>
              <w:t>规划相符性</w:t>
            </w:r>
          </w:p>
          <w:p>
            <w:pPr>
              <w:spacing w:line="360" w:lineRule="auto"/>
              <w:ind w:firstLine="480" w:firstLineChars="200"/>
              <w:jc w:val="left"/>
              <w:rPr>
                <w:sz w:val="24"/>
                <w:highlight w:val="none"/>
              </w:rPr>
            </w:pPr>
            <w:r>
              <w:rPr>
                <w:rFonts w:hint="eastAsia"/>
                <w:sz w:val="24"/>
              </w:rPr>
              <w:t>根据《苏滁现代产业园区总体规划》（2012-2030 年）规划的苏滁现代产业园用地面积35.18平方公里，</w:t>
            </w:r>
            <w:r>
              <w:rPr>
                <w:rFonts w:hint="eastAsia"/>
                <w:sz w:val="24"/>
                <w:highlight w:val="none"/>
              </w:rPr>
              <w:t>苏滁产业园重点发展电子信息、新材料、生物医学以及科技研发、总部基地、商务办公等多元融合的现代服务业和文化创意产业。</w:t>
            </w:r>
          </w:p>
          <w:p>
            <w:pPr>
              <w:spacing w:line="360" w:lineRule="auto"/>
              <w:ind w:firstLine="480" w:firstLineChars="200"/>
              <w:jc w:val="left"/>
              <w:rPr>
                <w:sz w:val="24"/>
              </w:rPr>
            </w:pPr>
            <w:r>
              <w:rPr>
                <w:rFonts w:hint="eastAsia"/>
                <w:sz w:val="24"/>
              </w:rPr>
              <w:t>规划形成六大产业园区：</w:t>
            </w:r>
          </w:p>
          <w:p>
            <w:pPr>
              <w:spacing w:line="360" w:lineRule="auto"/>
              <w:ind w:firstLine="480" w:firstLineChars="200"/>
              <w:jc w:val="left"/>
              <w:rPr>
                <w:sz w:val="24"/>
              </w:rPr>
            </w:pPr>
            <w:r>
              <w:rPr>
                <w:rFonts w:hint="eastAsia"/>
                <w:sz w:val="24"/>
              </w:rPr>
              <w:t>现代产业区——重点发展和承接家电信息、高端装备、精密机械和绿色食品四大优势主导产业。规划用地面积602.5公顷。</w:t>
            </w:r>
          </w:p>
          <w:p>
            <w:pPr>
              <w:spacing w:line="360" w:lineRule="auto"/>
              <w:ind w:firstLine="480" w:firstLineChars="200"/>
              <w:jc w:val="left"/>
              <w:rPr>
                <w:sz w:val="24"/>
              </w:rPr>
            </w:pPr>
            <w:r>
              <w:rPr>
                <w:rFonts w:hint="eastAsia"/>
                <w:sz w:val="24"/>
              </w:rPr>
              <w:t>高科技产业区——重点发展电子信息、新材料、节能环保、生物医药等技术密集知识密集型新兴高新技术产业。规划用地面积670.1公顷。</w:t>
            </w:r>
          </w:p>
          <w:p>
            <w:pPr>
              <w:spacing w:line="360" w:lineRule="auto"/>
              <w:ind w:firstLine="480" w:firstLineChars="200"/>
              <w:jc w:val="left"/>
              <w:rPr>
                <w:sz w:val="24"/>
              </w:rPr>
            </w:pPr>
            <w:r>
              <w:rPr>
                <w:rFonts w:hint="eastAsia"/>
                <w:sz w:val="24"/>
              </w:rPr>
              <w:t>现代商贸物流区——重点发展小家电、消费电子产品、建材、绿色食品等专业商贸、仓储物流、医药医疗产品、高档消费品的交易市场，兼容展示、服务、中介咨询、保险等综合功能。规划用地面积84.26公顷。</w:t>
            </w:r>
          </w:p>
          <w:p>
            <w:pPr>
              <w:spacing w:line="360" w:lineRule="auto"/>
              <w:ind w:firstLine="480" w:firstLineChars="200"/>
              <w:jc w:val="left"/>
              <w:rPr>
                <w:sz w:val="24"/>
              </w:rPr>
            </w:pPr>
            <w:r>
              <w:rPr>
                <w:rFonts w:hint="eastAsia"/>
                <w:sz w:val="24"/>
              </w:rPr>
              <w:t>中央商贸区——吸引金融机构地区总部建设，发挥金融产业对周边地区的幅射、带动作用；进一步完善园区中小企业金融扶持体系，使金融产业成为实体经济发展的重要引擎，成为转型升级的助推器。规划用地面积92.68公顷。</w:t>
            </w:r>
          </w:p>
          <w:p>
            <w:pPr>
              <w:spacing w:line="360" w:lineRule="auto"/>
              <w:ind w:firstLine="480" w:firstLineChars="200"/>
              <w:jc w:val="left"/>
              <w:rPr>
                <w:sz w:val="24"/>
              </w:rPr>
            </w:pPr>
            <w:r>
              <w:rPr>
                <w:rFonts w:hint="eastAsia"/>
                <w:sz w:val="24"/>
              </w:rPr>
              <w:t>现代服务区——集商务办公、科技研发、总部基地为主的混合产业功能区。规划用地面积28.05公顷。</w:t>
            </w:r>
          </w:p>
          <w:p>
            <w:pPr>
              <w:spacing w:line="360" w:lineRule="auto"/>
              <w:ind w:firstLine="480" w:firstLineChars="200"/>
              <w:jc w:val="left"/>
              <w:rPr>
                <w:sz w:val="24"/>
              </w:rPr>
            </w:pPr>
            <w:r>
              <w:rPr>
                <w:rFonts w:hint="eastAsia"/>
                <w:sz w:val="24"/>
              </w:rPr>
              <w:t>文化创意产业区及居住文化创意综合园区——以创意工业设计、IT 类新兴创意设计（软件设计、动漫、影视等）、创意消费品设计为主，兼容居住、科技研发、商业、餐饮、休闲娱乐等功能。规划用地总面积303.95公顷，其中文化创意产业区71.32公顷，居住文化创意综合园区232.63公顷。</w:t>
            </w:r>
          </w:p>
          <w:p>
            <w:pPr>
              <w:spacing w:line="360" w:lineRule="auto"/>
              <w:ind w:firstLine="480" w:firstLineChars="200"/>
              <w:jc w:val="left"/>
              <w:rPr>
                <w:sz w:val="24"/>
              </w:rPr>
            </w:pPr>
            <w:r>
              <w:rPr>
                <w:rFonts w:hint="eastAsia"/>
                <w:sz w:val="24"/>
              </w:rPr>
              <w:t>本目产品主要为食品制造，属于现代产业区中的主导产业，因此，项目的建设符合园区的产业定位要求。</w:t>
            </w:r>
          </w:p>
          <w:p>
            <w:pPr>
              <w:spacing w:line="360" w:lineRule="auto"/>
              <w:ind w:firstLine="480" w:firstLineChars="200"/>
              <w:jc w:val="left"/>
              <w:rPr>
                <w:sz w:val="24"/>
              </w:rPr>
            </w:pPr>
            <w:r>
              <w:rPr>
                <w:rFonts w:hint="eastAsia"/>
                <w:sz w:val="24"/>
              </w:rPr>
              <w:t>根据对建设项目周边环境的现场踏勘，厂址周围500m范围内无文物保护、饮用水源地等环境敏感点。项目产生的各项污染在采取各项环保措施后对环境敏感点影响较小，项目选址合理可行。</w:t>
            </w:r>
          </w:p>
          <w:p>
            <w:pPr>
              <w:autoSpaceDE w:val="0"/>
              <w:autoSpaceDN w:val="0"/>
              <w:spacing w:line="360" w:lineRule="auto"/>
              <w:ind w:firstLine="480" w:firstLineChars="200"/>
              <w:rPr>
                <w:spacing w:val="-2"/>
                <w:sz w:val="24"/>
              </w:rPr>
            </w:pPr>
            <w:r>
              <w:rPr>
                <w:rFonts w:hint="eastAsia"/>
                <w:sz w:val="24"/>
              </w:rPr>
              <w:t>因此，本项目建设符合当地规划要求，选址合理可行</w:t>
            </w:r>
            <w:r>
              <w:rPr>
                <w:spacing w:val="-2"/>
                <w:sz w:val="24"/>
              </w:rPr>
              <w:t>。</w:t>
            </w:r>
          </w:p>
          <w:p>
            <w:pPr>
              <w:spacing w:line="360" w:lineRule="auto"/>
              <w:ind w:firstLine="474" w:firstLineChars="200"/>
              <w:jc w:val="left"/>
              <w:rPr>
                <w:b/>
                <w:spacing w:val="-2"/>
                <w:sz w:val="24"/>
              </w:rPr>
            </w:pPr>
            <w:r>
              <w:rPr>
                <w:rFonts w:hint="eastAsia"/>
                <w:b/>
                <w:spacing w:val="-2"/>
                <w:sz w:val="24"/>
              </w:rPr>
              <w:t>2、</w:t>
            </w:r>
            <w:r>
              <w:rPr>
                <w:b/>
                <w:spacing w:val="-2"/>
                <w:sz w:val="24"/>
              </w:rPr>
              <w:t>规划环评符合性分析</w:t>
            </w:r>
          </w:p>
          <w:p>
            <w:pPr>
              <w:spacing w:line="360" w:lineRule="auto"/>
              <w:ind w:firstLine="472" w:firstLineChars="200"/>
              <w:jc w:val="left"/>
              <w:rPr>
                <w:spacing w:val="-2"/>
                <w:sz w:val="24"/>
              </w:rPr>
            </w:pPr>
            <w:r>
              <w:rPr>
                <w:spacing w:val="-2"/>
                <w:sz w:val="24"/>
              </w:rPr>
              <w:t>根据《关于苏滁现代产业园总体规划环境影响报告书审查意见的函》（皖环函[2013]695号），本项目与其相符性分析如下：</w:t>
            </w:r>
          </w:p>
          <w:p>
            <w:pPr>
              <w:spacing w:line="360" w:lineRule="auto"/>
              <w:jc w:val="center"/>
              <w:rPr>
                <w:sz w:val="24"/>
              </w:rPr>
            </w:pPr>
            <w:r>
              <w:rPr>
                <w:rFonts w:ascii="宋体" w:hAnsi="宋体"/>
                <w:b/>
                <w:bCs/>
                <w:sz w:val="24"/>
              </w:rPr>
              <w:t>表</w:t>
            </w:r>
            <w:r>
              <w:rPr>
                <w:b/>
                <w:bCs/>
                <w:sz w:val="24"/>
              </w:rPr>
              <w:t>1-</w:t>
            </w:r>
            <w:r>
              <w:rPr>
                <w:rFonts w:hint="eastAsia"/>
                <w:b/>
                <w:bCs/>
                <w:sz w:val="24"/>
              </w:rPr>
              <w:t xml:space="preserve">1 </w:t>
            </w:r>
            <w:r>
              <w:rPr>
                <w:b/>
                <w:bCs/>
                <w:sz w:val="24"/>
              </w:rPr>
              <w:t xml:space="preserve"> </w:t>
            </w:r>
            <w:r>
              <w:rPr>
                <w:rFonts w:ascii="宋体" w:hAnsi="宋体"/>
                <w:b/>
                <w:bCs/>
                <w:sz w:val="24"/>
              </w:rPr>
              <w:t>项目与园区规划环评审查意见的相符性</w:t>
            </w:r>
          </w:p>
          <w:tbl>
            <w:tblPr>
              <w:tblStyle w:val="22"/>
              <w:tblW w:w="7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4507"/>
              <w:gridCol w:w="2180"/>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Cs w:val="21"/>
                    </w:rPr>
                  </w:pPr>
                  <w:r>
                    <w:rPr>
                      <w:b/>
                      <w:bCs/>
                      <w:szCs w:val="21"/>
                    </w:rPr>
                    <w:t>序号</w:t>
                  </w:r>
                </w:p>
              </w:tc>
              <w:tc>
                <w:tcPr>
                  <w:tcW w:w="2849" w:type="pct"/>
                  <w:tcBorders>
                    <w:top w:val="single" w:color="auto" w:sz="4" w:space="0"/>
                    <w:left w:val="nil"/>
                    <w:bottom w:val="single" w:color="auto" w:sz="4" w:space="0"/>
                    <w:right w:val="single" w:color="auto" w:sz="4" w:space="0"/>
                  </w:tcBorders>
                  <w:vAlign w:val="center"/>
                </w:tcPr>
                <w:p>
                  <w:pPr>
                    <w:adjustRightInd w:val="0"/>
                    <w:snapToGrid w:val="0"/>
                    <w:jc w:val="center"/>
                    <w:rPr>
                      <w:b/>
                      <w:bCs/>
                      <w:szCs w:val="21"/>
                    </w:rPr>
                  </w:pPr>
                  <w:r>
                    <w:rPr>
                      <w:b/>
                      <w:bCs/>
                      <w:szCs w:val="21"/>
                    </w:rPr>
                    <w:t>审查意见的函要求</w:t>
                  </w:r>
                </w:p>
              </w:tc>
              <w:tc>
                <w:tcPr>
                  <w:tcW w:w="1378" w:type="pct"/>
                  <w:tcBorders>
                    <w:top w:val="single" w:color="auto" w:sz="4" w:space="0"/>
                    <w:left w:val="nil"/>
                    <w:bottom w:val="single" w:color="auto" w:sz="4" w:space="0"/>
                    <w:right w:val="single" w:color="auto" w:sz="4" w:space="0"/>
                  </w:tcBorders>
                  <w:vAlign w:val="center"/>
                </w:tcPr>
                <w:p>
                  <w:pPr>
                    <w:adjustRightInd w:val="0"/>
                    <w:snapToGrid w:val="0"/>
                    <w:jc w:val="center"/>
                    <w:rPr>
                      <w:b/>
                      <w:bCs/>
                      <w:szCs w:val="21"/>
                    </w:rPr>
                  </w:pPr>
                  <w:r>
                    <w:rPr>
                      <w:b/>
                      <w:bCs/>
                      <w:szCs w:val="21"/>
                    </w:rPr>
                    <w:t>本项目情况</w:t>
                  </w:r>
                </w:p>
              </w:tc>
              <w:tc>
                <w:tcPr>
                  <w:tcW w:w="509" w:type="pct"/>
                  <w:tcBorders>
                    <w:top w:val="single" w:color="auto" w:sz="4" w:space="0"/>
                    <w:left w:val="nil"/>
                    <w:bottom w:val="single" w:color="auto" w:sz="4" w:space="0"/>
                    <w:right w:val="single" w:color="auto" w:sz="4" w:space="0"/>
                  </w:tcBorders>
                  <w:vAlign w:val="center"/>
                </w:tcPr>
                <w:p>
                  <w:pPr>
                    <w:jc w:val="center"/>
                    <w:rPr>
                      <w:b/>
                      <w:bCs/>
                      <w:szCs w:val="21"/>
                    </w:rPr>
                  </w:pPr>
                  <w:r>
                    <w:rPr>
                      <w:b/>
                      <w:bCs/>
                      <w:szCs w:val="21"/>
                    </w:rPr>
                    <w:t>是否相符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2849" w:type="pct"/>
                  <w:tcBorders>
                    <w:top w:val="single" w:color="auto" w:sz="4" w:space="0"/>
                    <w:left w:val="nil"/>
                    <w:bottom w:val="single" w:color="auto" w:sz="4" w:space="0"/>
                    <w:right w:val="single" w:color="auto" w:sz="4" w:space="0"/>
                  </w:tcBorders>
                  <w:vAlign w:val="center"/>
                </w:tcPr>
                <w:p>
                  <w:pPr>
                    <w:adjustRightInd w:val="0"/>
                    <w:snapToGrid w:val="0"/>
                    <w:ind w:firstLine="420" w:firstLineChars="200"/>
                    <w:rPr>
                      <w:szCs w:val="21"/>
                    </w:rPr>
                  </w:pPr>
                  <w:r>
                    <w:rPr>
                      <w:szCs w:val="21"/>
                    </w:rPr>
                    <w:t>根据园区各产业的特点，充分考虑食品企业和居住、教育区域环境要求，进一步优化调整空间布局，减轻和避免各功能区之间、项目之间在环境要求方面的相互影响。入区项目选择及布点时，充分考虑与居住区之间的关系和卫生防护距离问题，居住区和工业用地之间设置足够的绿化带进行隔离，确保居住区环境质量。</w:t>
                  </w:r>
                </w:p>
              </w:tc>
              <w:tc>
                <w:tcPr>
                  <w:tcW w:w="1378" w:type="pct"/>
                  <w:tcBorders>
                    <w:top w:val="single" w:color="auto" w:sz="4" w:space="0"/>
                    <w:left w:val="nil"/>
                    <w:bottom w:val="single" w:color="auto" w:sz="4" w:space="0"/>
                    <w:right w:val="single" w:color="auto" w:sz="4" w:space="0"/>
                  </w:tcBorders>
                  <w:vAlign w:val="center"/>
                </w:tcPr>
                <w:p>
                  <w:pPr>
                    <w:adjustRightInd w:val="0"/>
                    <w:snapToGrid w:val="0"/>
                    <w:rPr>
                      <w:szCs w:val="21"/>
                    </w:rPr>
                  </w:pPr>
                  <w:r>
                    <w:rPr>
                      <w:szCs w:val="21"/>
                    </w:rPr>
                    <w:t>本项目</w:t>
                  </w:r>
                  <w:r>
                    <w:rPr>
                      <w:rStyle w:val="27"/>
                      <w:rFonts w:hint="eastAsia"/>
                      <w:kern w:val="0"/>
                      <w:szCs w:val="20"/>
                    </w:rPr>
                    <w:t>南侧60m外有居住区，厂界外是绿化带及公路，满足要求</w:t>
                  </w:r>
                </w:p>
              </w:tc>
              <w:tc>
                <w:tcPr>
                  <w:tcW w:w="509"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2</w:t>
                  </w:r>
                </w:p>
              </w:tc>
              <w:tc>
                <w:tcPr>
                  <w:tcW w:w="2849" w:type="pct"/>
                  <w:tcBorders>
                    <w:top w:val="single" w:color="auto" w:sz="4" w:space="0"/>
                    <w:left w:val="nil"/>
                    <w:bottom w:val="single" w:color="auto" w:sz="4" w:space="0"/>
                    <w:right w:val="single" w:color="auto" w:sz="4" w:space="0"/>
                  </w:tcBorders>
                  <w:vAlign w:val="center"/>
                </w:tcPr>
                <w:p>
                  <w:pPr>
                    <w:adjustRightInd w:val="0"/>
                    <w:snapToGrid w:val="0"/>
                    <w:ind w:firstLine="420" w:firstLineChars="200"/>
                    <w:rPr>
                      <w:szCs w:val="21"/>
                    </w:rPr>
                  </w:pPr>
                  <w:r>
                    <w:rPr>
                      <w:szCs w:val="21"/>
                    </w:rPr>
                    <w:t>制定并实施开发区节水和中水利用规划，积极推进企业内、企业间水资源的梯级利用和企业用水用量控制，切实提供水资源利用率。严禁建设国家明令禁止的项目，严格控制高耗水、高耗能、污染排放量大的项目。</w:t>
                  </w:r>
                </w:p>
              </w:tc>
              <w:tc>
                <w:tcPr>
                  <w:tcW w:w="1378" w:type="pct"/>
                  <w:tcBorders>
                    <w:top w:val="single" w:color="auto" w:sz="4" w:space="0"/>
                    <w:left w:val="nil"/>
                    <w:bottom w:val="single" w:color="auto" w:sz="4" w:space="0"/>
                    <w:right w:val="single" w:color="auto" w:sz="4" w:space="0"/>
                  </w:tcBorders>
                  <w:vAlign w:val="center"/>
                </w:tcPr>
                <w:p>
                  <w:pPr>
                    <w:adjustRightInd w:val="0"/>
                    <w:snapToGrid w:val="0"/>
                    <w:rPr>
                      <w:szCs w:val="21"/>
                    </w:rPr>
                  </w:pPr>
                  <w:r>
                    <w:rPr>
                      <w:szCs w:val="21"/>
                    </w:rPr>
                    <w:t>本项目不属于国家明令禁止的项目，亦不属于高耗水、高耗能、污染排放量大的项目</w:t>
                  </w:r>
                </w:p>
              </w:tc>
              <w:tc>
                <w:tcPr>
                  <w:tcW w:w="509"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3</w:t>
                  </w:r>
                </w:p>
              </w:tc>
              <w:tc>
                <w:tcPr>
                  <w:tcW w:w="2849" w:type="pct"/>
                  <w:tcBorders>
                    <w:top w:val="single" w:color="auto" w:sz="4" w:space="0"/>
                    <w:left w:val="nil"/>
                    <w:bottom w:val="single" w:color="auto" w:sz="4" w:space="0"/>
                    <w:right w:val="single" w:color="auto" w:sz="4" w:space="0"/>
                  </w:tcBorders>
                  <w:vAlign w:val="center"/>
                </w:tcPr>
                <w:p>
                  <w:pPr>
                    <w:adjustRightInd w:val="0"/>
                    <w:snapToGrid w:val="0"/>
                    <w:ind w:firstLine="420" w:firstLineChars="200"/>
                    <w:rPr>
                      <w:szCs w:val="21"/>
                    </w:rPr>
                  </w:pPr>
                  <w:r>
                    <w:rPr>
                      <w:szCs w:val="21"/>
                    </w:rPr>
                    <w:t>充分考虑园区产业与区域产业的定位互补，在规划的产业定位总体框架下，进一步论证和优化发展重点，严格控制非主导产业定位方向的项目入区建设。入区项目应该采用先进的生产工艺和设备，建设完善的环境保护、安全生产和事故防范系统，强化节能、节水等各项环保措施。</w:t>
                  </w:r>
                </w:p>
              </w:tc>
              <w:tc>
                <w:tcPr>
                  <w:tcW w:w="1378" w:type="pct"/>
                  <w:tcBorders>
                    <w:top w:val="single" w:color="auto" w:sz="4" w:space="0"/>
                    <w:left w:val="nil"/>
                    <w:bottom w:val="single" w:color="auto" w:sz="4" w:space="0"/>
                    <w:right w:val="single" w:color="auto" w:sz="4" w:space="0"/>
                  </w:tcBorders>
                  <w:vAlign w:val="center"/>
                </w:tcPr>
                <w:p>
                  <w:pPr>
                    <w:adjustRightInd w:val="0"/>
                    <w:snapToGrid w:val="0"/>
                    <w:rPr>
                      <w:szCs w:val="21"/>
                    </w:rPr>
                  </w:pPr>
                  <w:r>
                    <w:rPr>
                      <w:szCs w:val="21"/>
                    </w:rPr>
                    <w:t>项目从事</w:t>
                  </w:r>
                  <w:r>
                    <w:rPr>
                      <w:rFonts w:hint="eastAsia"/>
                      <w:szCs w:val="21"/>
                    </w:rPr>
                    <w:t>食品制造和塑料制品制造</w:t>
                  </w:r>
                  <w:r>
                    <w:rPr>
                      <w:szCs w:val="21"/>
                    </w:rPr>
                    <w:t>，</w:t>
                  </w:r>
                  <w:r>
                    <w:rPr>
                      <w:rFonts w:hint="eastAsia"/>
                      <w:szCs w:val="21"/>
                    </w:rPr>
                    <w:t>属于主导产业</w:t>
                  </w:r>
                  <w:r>
                    <w:rPr>
                      <w:szCs w:val="21"/>
                    </w:rPr>
                    <w:t>，并采取了采用先进的生产工艺和设备</w:t>
                  </w:r>
                  <w:r>
                    <w:rPr>
                      <w:rFonts w:hint="eastAsia"/>
                      <w:szCs w:val="21"/>
                    </w:rPr>
                    <w:t>，</w:t>
                  </w:r>
                  <w:r>
                    <w:rPr>
                      <w:szCs w:val="21"/>
                    </w:rPr>
                    <w:t>建设完善的废气、废水、噪声、固废措施</w:t>
                  </w:r>
                </w:p>
              </w:tc>
              <w:tc>
                <w:tcPr>
                  <w:tcW w:w="509"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4</w:t>
                  </w:r>
                </w:p>
              </w:tc>
              <w:tc>
                <w:tcPr>
                  <w:tcW w:w="2849" w:type="pct"/>
                  <w:tcBorders>
                    <w:top w:val="single" w:color="auto" w:sz="4" w:space="0"/>
                    <w:left w:val="nil"/>
                    <w:bottom w:val="single" w:color="auto" w:sz="4" w:space="0"/>
                    <w:right w:val="single" w:color="auto" w:sz="4" w:space="0"/>
                  </w:tcBorders>
                  <w:vAlign w:val="center"/>
                </w:tcPr>
                <w:p>
                  <w:pPr>
                    <w:adjustRightInd w:val="0"/>
                    <w:snapToGrid w:val="0"/>
                    <w:ind w:firstLine="420" w:firstLineChars="200"/>
                    <w:rPr>
                      <w:szCs w:val="21"/>
                    </w:rPr>
                  </w:pPr>
                  <w:r>
                    <w:rPr>
                      <w:szCs w:val="21"/>
                    </w:rPr>
                    <w:t>加快燃气、集中供热规划实施进度，禁止使用燃煤锅炉。环境保护规划中环境空气质量标准采用《环境空气质量标准》（GB3095-2012</w:t>
                  </w:r>
                  <w:r>
                    <w:rPr>
                      <w:rFonts w:ascii="宋体" w:hAnsi="宋体"/>
                      <w:szCs w:val="21"/>
                    </w:rPr>
                    <w:t>）。</w:t>
                  </w:r>
                </w:p>
              </w:tc>
              <w:tc>
                <w:tcPr>
                  <w:tcW w:w="1378" w:type="pct"/>
                  <w:tcBorders>
                    <w:top w:val="single" w:color="auto" w:sz="4" w:space="0"/>
                    <w:left w:val="nil"/>
                    <w:bottom w:val="single" w:color="auto" w:sz="4" w:space="0"/>
                    <w:right w:val="single" w:color="auto" w:sz="4" w:space="0"/>
                  </w:tcBorders>
                  <w:vAlign w:val="center"/>
                </w:tcPr>
                <w:p>
                  <w:pPr>
                    <w:adjustRightInd w:val="0"/>
                    <w:snapToGrid w:val="0"/>
                    <w:rPr>
                      <w:szCs w:val="21"/>
                    </w:rPr>
                  </w:pPr>
                  <w:r>
                    <w:rPr>
                      <w:szCs w:val="21"/>
                    </w:rPr>
                    <w:t>本项目采用园区的电能</w:t>
                  </w:r>
                  <w:r>
                    <w:rPr>
                      <w:rFonts w:hint="eastAsia"/>
                      <w:szCs w:val="21"/>
                    </w:rPr>
                    <w:t>、</w:t>
                  </w:r>
                  <w:r>
                    <w:rPr>
                      <w:szCs w:val="21"/>
                    </w:rPr>
                    <w:t>天然气作为能源 </w:t>
                  </w:r>
                </w:p>
              </w:tc>
              <w:tc>
                <w:tcPr>
                  <w:tcW w:w="509"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5</w:t>
                  </w:r>
                </w:p>
              </w:tc>
              <w:tc>
                <w:tcPr>
                  <w:tcW w:w="2849" w:type="pct"/>
                  <w:tcBorders>
                    <w:top w:val="single" w:color="auto" w:sz="4" w:space="0"/>
                    <w:left w:val="nil"/>
                    <w:bottom w:val="single" w:color="auto" w:sz="4" w:space="0"/>
                    <w:right w:val="single" w:color="auto" w:sz="4" w:space="0"/>
                  </w:tcBorders>
                  <w:vAlign w:val="center"/>
                </w:tcPr>
                <w:p>
                  <w:pPr>
                    <w:adjustRightInd w:val="0"/>
                    <w:snapToGrid w:val="0"/>
                    <w:ind w:firstLine="420" w:firstLineChars="200"/>
                    <w:rPr>
                      <w:szCs w:val="21"/>
                    </w:rPr>
                  </w:pPr>
                  <w:r>
                    <w:rPr>
                      <w:szCs w:val="21"/>
                    </w:rPr>
                    <w:t>坚持预防为主、防控结合的原则，根据《报告书》提出的要求，在规划层面上制定落实园区综合环境风险防范措施，园区环境应急体系，并结合入区项目的建设，及时更新升级各类突发环境事件应急预案，并做好应急软硬件建设和储备，建设环境风险预警体系。妥善处置生活垃圾，严格按照国家相关规定和规范，对工业固废和危险废物进行安全处置。园区应确定专人对危险废物进行管理，建设危险废物环境管理台账和信息档案，严格执行危险废物转移联单制度。园区和入园企业要按照有关要求和规范，建设完善的污物排放在线监控系统，并与各级环保部门监控中心联网。</w:t>
                  </w:r>
                </w:p>
              </w:tc>
              <w:tc>
                <w:tcPr>
                  <w:tcW w:w="1378" w:type="pct"/>
                  <w:tcBorders>
                    <w:top w:val="single" w:color="auto" w:sz="4" w:space="0"/>
                    <w:left w:val="nil"/>
                    <w:bottom w:val="single" w:color="auto" w:sz="4" w:space="0"/>
                    <w:right w:val="single" w:color="auto" w:sz="4" w:space="0"/>
                  </w:tcBorders>
                  <w:vAlign w:val="center"/>
                </w:tcPr>
                <w:p>
                  <w:pPr>
                    <w:adjustRightInd w:val="0"/>
                    <w:snapToGrid w:val="0"/>
                    <w:rPr>
                      <w:szCs w:val="21"/>
                    </w:rPr>
                  </w:pPr>
                  <w:r>
                    <w:rPr>
                      <w:szCs w:val="21"/>
                    </w:rPr>
                    <w:t>项目对一般工业固废、危险废物、生活垃圾均进行安全处置</w:t>
                  </w:r>
                </w:p>
              </w:tc>
              <w:tc>
                <w:tcPr>
                  <w:tcW w:w="509" w:type="pct"/>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szCs w:val="21"/>
                    </w:rPr>
                    <w:t>相符</w:t>
                  </w:r>
                </w:p>
              </w:tc>
            </w:tr>
          </w:tbl>
          <w:p>
            <w:pPr>
              <w:spacing w:before="120" w:beforeLines="50" w:line="360" w:lineRule="auto"/>
              <w:ind w:firstLine="472" w:firstLineChars="200"/>
              <w:jc w:val="left"/>
              <w:rPr>
                <w:spacing w:val="-2"/>
                <w:sz w:val="24"/>
              </w:rPr>
            </w:pPr>
            <w:r>
              <w:rPr>
                <w:rFonts w:hint="eastAsia"/>
                <w:spacing w:val="-2"/>
                <w:sz w:val="24"/>
              </w:rPr>
              <w:t>综上，本项目的建设符合《关于苏滁现代产业园总体规划环境影响报告书审查意见的函》（皖环函[2013]695号）中的规定要求。</w:t>
            </w:r>
          </w:p>
          <w:p>
            <w:pPr>
              <w:spacing w:line="360" w:lineRule="auto"/>
              <w:ind w:firstLine="472" w:firstLineChars="200"/>
              <w:jc w:val="left"/>
              <w:rPr>
                <w:spacing w:val="-2"/>
                <w:sz w:val="24"/>
              </w:rPr>
            </w:pPr>
            <w:r>
              <w:rPr>
                <w:rFonts w:hint="eastAsia"/>
                <w:spacing w:val="-2"/>
                <w:sz w:val="24"/>
              </w:rPr>
              <w:t>根据《关于苏滁现代产业园规划环境影响跟踪评价审查意见的函》（皖环函[2018]1590号），本项目与其相符性分析如下：</w:t>
            </w:r>
          </w:p>
          <w:p>
            <w:pPr>
              <w:widowControl/>
              <w:spacing w:line="360" w:lineRule="auto"/>
              <w:jc w:val="center"/>
              <w:rPr>
                <w:b/>
                <w:bCs/>
                <w:sz w:val="24"/>
              </w:rPr>
            </w:pPr>
            <w:r>
              <w:rPr>
                <w:rFonts w:ascii="宋体" w:hAnsi="宋体"/>
                <w:b/>
                <w:bCs/>
                <w:sz w:val="24"/>
              </w:rPr>
              <w:t>表</w:t>
            </w:r>
            <w:r>
              <w:rPr>
                <w:b/>
                <w:bCs/>
                <w:sz w:val="24"/>
              </w:rPr>
              <w:t>1-</w:t>
            </w:r>
            <w:r>
              <w:rPr>
                <w:rFonts w:hint="eastAsia"/>
                <w:b/>
                <w:bCs/>
                <w:sz w:val="24"/>
              </w:rPr>
              <w:t>2</w:t>
            </w:r>
            <w:r>
              <w:rPr>
                <w:b/>
                <w:bCs/>
                <w:sz w:val="24"/>
              </w:rPr>
              <w:t xml:space="preserve">  </w:t>
            </w:r>
            <w:r>
              <w:rPr>
                <w:rFonts w:ascii="宋体" w:hAnsi="宋体"/>
                <w:b/>
                <w:bCs/>
                <w:sz w:val="24"/>
              </w:rPr>
              <w:t>项目与园区规划环评跟踪评价审查意见相符性分析</w:t>
            </w:r>
          </w:p>
          <w:tbl>
            <w:tblPr>
              <w:tblStyle w:val="22"/>
              <w:tblW w:w="79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4"/>
              <w:gridCol w:w="4626"/>
              <w:gridCol w:w="1918"/>
              <w:gridCol w:w="8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2" w:type="pct"/>
                  <w:tcBorders>
                    <w:top w:val="single" w:color="auto" w:sz="4" w:space="0"/>
                    <w:left w:val="single" w:color="auto" w:sz="4" w:space="0"/>
                    <w:bottom w:val="single" w:color="auto" w:sz="6" w:space="0"/>
                    <w:right w:val="single" w:color="auto" w:sz="6" w:space="0"/>
                  </w:tcBorders>
                  <w:vAlign w:val="center"/>
                </w:tcPr>
                <w:p>
                  <w:pPr>
                    <w:adjustRightInd w:val="0"/>
                    <w:snapToGrid w:val="0"/>
                    <w:jc w:val="center"/>
                    <w:rPr>
                      <w:b/>
                      <w:bCs/>
                      <w:szCs w:val="21"/>
                    </w:rPr>
                  </w:pPr>
                  <w:r>
                    <w:rPr>
                      <w:b/>
                      <w:bCs/>
                      <w:szCs w:val="21"/>
                    </w:rPr>
                    <w:t>序号</w:t>
                  </w:r>
                </w:p>
              </w:tc>
              <w:tc>
                <w:tcPr>
                  <w:tcW w:w="2914" w:type="pct"/>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b/>
                      <w:bCs/>
                      <w:szCs w:val="21"/>
                    </w:rPr>
                  </w:pPr>
                  <w:r>
                    <w:rPr>
                      <w:b/>
                      <w:bCs/>
                      <w:szCs w:val="21"/>
                    </w:rPr>
                    <w:t>审查意见的函要求</w:t>
                  </w:r>
                </w:p>
              </w:tc>
              <w:tc>
                <w:tcPr>
                  <w:tcW w:w="1208" w:type="pct"/>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b/>
                      <w:bCs/>
                      <w:szCs w:val="21"/>
                    </w:rPr>
                  </w:pPr>
                  <w:r>
                    <w:rPr>
                      <w:b/>
                      <w:bCs/>
                      <w:szCs w:val="21"/>
                    </w:rPr>
                    <w:t>本项目情况</w:t>
                  </w:r>
                </w:p>
              </w:tc>
              <w:tc>
                <w:tcPr>
                  <w:tcW w:w="516" w:type="pct"/>
                  <w:tcBorders>
                    <w:top w:val="single" w:color="auto" w:sz="4" w:space="0"/>
                    <w:left w:val="single" w:color="auto" w:sz="6" w:space="0"/>
                    <w:bottom w:val="single" w:color="auto" w:sz="6" w:space="0"/>
                    <w:right w:val="single" w:color="auto" w:sz="4" w:space="0"/>
                  </w:tcBorders>
                  <w:vAlign w:val="center"/>
                </w:tcPr>
                <w:p>
                  <w:pPr>
                    <w:adjustRightInd w:val="0"/>
                    <w:snapToGrid w:val="0"/>
                    <w:jc w:val="center"/>
                    <w:rPr>
                      <w:b/>
                      <w:bCs/>
                      <w:szCs w:val="21"/>
                    </w:rPr>
                  </w:pPr>
                  <w:r>
                    <w:rPr>
                      <w:b/>
                      <w:bCs/>
                      <w:szCs w:val="21"/>
                    </w:rPr>
                    <w:t>相符性</w:t>
                  </w:r>
                </w:p>
                <w:p>
                  <w:pPr>
                    <w:adjustRightInd w:val="0"/>
                    <w:snapToGrid w:val="0"/>
                    <w:jc w:val="center"/>
                    <w:rPr>
                      <w:b/>
                      <w:bCs/>
                      <w:szCs w:val="21"/>
                    </w:rPr>
                  </w:pPr>
                  <w:r>
                    <w:rPr>
                      <w:b/>
                      <w:bCs/>
                      <w:szCs w:val="21"/>
                    </w:rPr>
                    <w:t>分析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2" w:type="pct"/>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szCs w:val="21"/>
                    </w:rPr>
                  </w:pPr>
                  <w:r>
                    <w:rPr>
                      <w:szCs w:val="21"/>
                    </w:rPr>
                    <w:t>1</w:t>
                  </w:r>
                </w:p>
              </w:tc>
              <w:tc>
                <w:tcPr>
                  <w:tcW w:w="2914" w:type="pct"/>
                  <w:tcBorders>
                    <w:top w:val="single" w:color="auto" w:sz="6" w:space="0"/>
                    <w:left w:val="single" w:color="auto" w:sz="6" w:space="0"/>
                    <w:bottom w:val="single" w:color="auto" w:sz="6" w:space="0"/>
                    <w:right w:val="single" w:color="auto" w:sz="6" w:space="0"/>
                  </w:tcBorders>
                  <w:vAlign w:val="center"/>
                </w:tcPr>
                <w:p>
                  <w:pPr>
                    <w:adjustRightInd w:val="0"/>
                    <w:snapToGrid w:val="0"/>
                    <w:ind w:firstLine="420" w:firstLineChars="200"/>
                    <w:rPr>
                      <w:szCs w:val="21"/>
                    </w:rPr>
                  </w:pPr>
                  <w:r>
                    <w:rPr>
                      <w:szCs w:val="21"/>
                    </w:rPr>
                    <w:t>开发区在规划实施过程中要以促进改善区域环境质量为核心目标，以环境友好、科学发展指导，坚持预防为主、保护优先；坚持高标准，严格项目行业准入和资源准入；加快环保基础设施建设，全民落实各项污染防治和环境风险防范措施，强化企业生产运行和环境行为管理，推动企业清洁生产改造，促进开发区高质量发展。</w:t>
                  </w:r>
                </w:p>
              </w:tc>
              <w:tc>
                <w:tcPr>
                  <w:tcW w:w="1208" w:type="pct"/>
                  <w:tcBorders>
                    <w:top w:val="single" w:color="auto" w:sz="6" w:space="0"/>
                    <w:left w:val="single" w:color="auto" w:sz="6" w:space="0"/>
                    <w:bottom w:val="single" w:color="auto" w:sz="6" w:space="0"/>
                    <w:right w:val="single" w:color="auto" w:sz="6" w:space="0"/>
                  </w:tcBorders>
                  <w:vAlign w:val="center"/>
                </w:tcPr>
                <w:p>
                  <w:pPr>
                    <w:adjustRightInd w:val="0"/>
                    <w:snapToGrid w:val="0"/>
                    <w:rPr>
                      <w:szCs w:val="21"/>
                    </w:rPr>
                  </w:pPr>
                  <w:r>
                    <w:rPr>
                      <w:szCs w:val="21"/>
                    </w:rPr>
                    <w:t>本项目</w:t>
                  </w:r>
                  <w:r>
                    <w:rPr>
                      <w:rFonts w:hint="eastAsia"/>
                      <w:szCs w:val="21"/>
                    </w:rPr>
                    <w:t>符合</w:t>
                  </w:r>
                  <w:r>
                    <w:rPr>
                      <w:szCs w:val="21"/>
                    </w:rPr>
                    <w:t>园区用地布局规划及产业规划，符合国家和地方产业政策，不在园区负面清单内，项目采取的各项措施可以确保各污染物达标排放。</w:t>
                  </w:r>
                </w:p>
              </w:tc>
              <w:tc>
                <w:tcPr>
                  <w:tcW w:w="516"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2" w:type="pct"/>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szCs w:val="21"/>
                    </w:rPr>
                  </w:pPr>
                  <w:r>
                    <w:rPr>
                      <w:szCs w:val="21"/>
                    </w:rPr>
                    <w:t>2</w:t>
                  </w:r>
                </w:p>
              </w:tc>
              <w:tc>
                <w:tcPr>
                  <w:tcW w:w="2914" w:type="pct"/>
                  <w:tcBorders>
                    <w:top w:val="single" w:color="auto" w:sz="6" w:space="0"/>
                    <w:left w:val="single" w:color="auto" w:sz="6" w:space="0"/>
                    <w:bottom w:val="single" w:color="auto" w:sz="6" w:space="0"/>
                    <w:right w:val="single" w:color="auto" w:sz="6" w:space="0"/>
                  </w:tcBorders>
                  <w:vAlign w:val="center"/>
                </w:tcPr>
                <w:p>
                  <w:pPr>
                    <w:adjustRightInd w:val="0"/>
                    <w:snapToGrid w:val="0"/>
                    <w:ind w:firstLine="420" w:firstLineChars="200"/>
                    <w:rPr>
                      <w:szCs w:val="21"/>
                    </w:rPr>
                  </w:pPr>
                  <w:r>
                    <w:rPr>
                      <w:szCs w:val="21"/>
                    </w:rPr>
                    <w:t>《跟踪评价》对照开发区总体规划、原规划环评及其审查意见要求，在分析开发区总体规划的执行情况、土地利用现状、产业发展现状、基础设施运行情况、污染物排放与治理措施现状等基础上，梳理总结开发区现存的主要环境问题与后续规划实施过程中制约因素，并针对性的提出“</w:t>
                  </w:r>
                  <w:r>
                    <w:rPr>
                      <w:rFonts w:ascii="宋体" w:hAnsi="宋体"/>
                      <w:szCs w:val="21"/>
                    </w:rPr>
                    <w:t>开发区存在问题与整改措施建议</w:t>
                  </w:r>
                  <w:r>
                    <w:rPr>
                      <w:szCs w:val="21"/>
                    </w:rPr>
                    <w:t>”</w:t>
                  </w:r>
                  <w:r>
                    <w:rPr>
                      <w:rFonts w:ascii="宋体" w:hAnsi="宋体"/>
                      <w:szCs w:val="21"/>
                    </w:rPr>
                    <w:t>，请发区认真研究落实，如期完成整改任务。</w:t>
                  </w:r>
                </w:p>
              </w:tc>
              <w:tc>
                <w:tcPr>
                  <w:tcW w:w="1208" w:type="pct"/>
                  <w:tcBorders>
                    <w:top w:val="single" w:color="auto" w:sz="6" w:space="0"/>
                    <w:left w:val="single" w:color="auto" w:sz="6" w:space="0"/>
                    <w:bottom w:val="single" w:color="auto" w:sz="6" w:space="0"/>
                    <w:right w:val="single" w:color="auto" w:sz="6" w:space="0"/>
                  </w:tcBorders>
                  <w:vAlign w:val="center"/>
                </w:tcPr>
                <w:p>
                  <w:pPr>
                    <w:adjustRightInd w:val="0"/>
                    <w:snapToGrid w:val="0"/>
                    <w:rPr>
                      <w:szCs w:val="21"/>
                    </w:rPr>
                  </w:pPr>
                  <w:r>
                    <w:rPr>
                      <w:szCs w:val="21"/>
                    </w:rPr>
                    <w:t>本项目不属于规划环评跟踪评价提出的园区存在的相关问题。</w:t>
                  </w:r>
                </w:p>
              </w:tc>
              <w:tc>
                <w:tcPr>
                  <w:tcW w:w="516"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2" w:type="pct"/>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szCs w:val="21"/>
                    </w:rPr>
                  </w:pPr>
                  <w:r>
                    <w:rPr>
                      <w:rFonts w:hint="eastAsia"/>
                      <w:szCs w:val="21"/>
                    </w:rPr>
                    <w:t>3</w:t>
                  </w:r>
                </w:p>
              </w:tc>
              <w:tc>
                <w:tcPr>
                  <w:tcW w:w="2914" w:type="pct"/>
                  <w:tcBorders>
                    <w:top w:val="single" w:color="auto" w:sz="6" w:space="0"/>
                    <w:left w:val="single" w:color="auto" w:sz="6" w:space="0"/>
                    <w:bottom w:val="single" w:color="auto" w:sz="6" w:space="0"/>
                    <w:right w:val="single" w:color="auto" w:sz="6" w:space="0"/>
                  </w:tcBorders>
                  <w:vAlign w:val="center"/>
                </w:tcPr>
                <w:p>
                  <w:pPr>
                    <w:adjustRightInd w:val="0"/>
                    <w:snapToGrid w:val="0"/>
                    <w:ind w:firstLine="420" w:firstLineChars="200"/>
                    <w:rPr>
                      <w:szCs w:val="21"/>
                    </w:rPr>
                  </w:pPr>
                  <w:r>
                    <w:rPr>
                      <w:rFonts w:hint="eastAsia"/>
                      <w:szCs w:val="21"/>
                    </w:rPr>
                    <w:t>在规划实施过程中，每隔五年进行一次环境影响跟踪评价；对已经批准的规划在实施范围、适用期限、规模、结构和布局等方面进行重大调整或者修订的，规划编制机关应当依照《规划环境影响评价条例》的规定重新或者补充进行环境影响评价</w:t>
                  </w:r>
                </w:p>
              </w:tc>
              <w:tc>
                <w:tcPr>
                  <w:tcW w:w="1208"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w:t>
                  </w:r>
                </w:p>
              </w:tc>
              <w:tc>
                <w:tcPr>
                  <w:tcW w:w="516"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2" w:type="pct"/>
                  <w:tcBorders>
                    <w:top w:val="single" w:color="auto" w:sz="6" w:space="0"/>
                    <w:left w:val="single" w:color="auto" w:sz="4" w:space="0"/>
                    <w:bottom w:val="single" w:color="auto" w:sz="4" w:space="0"/>
                    <w:right w:val="single" w:color="auto" w:sz="6" w:space="0"/>
                  </w:tcBorders>
                  <w:vAlign w:val="center"/>
                </w:tcPr>
                <w:p>
                  <w:pPr>
                    <w:adjustRightInd w:val="0"/>
                    <w:snapToGrid w:val="0"/>
                    <w:jc w:val="center"/>
                    <w:rPr>
                      <w:szCs w:val="21"/>
                    </w:rPr>
                  </w:pPr>
                  <w:r>
                    <w:rPr>
                      <w:rFonts w:hint="eastAsia"/>
                      <w:szCs w:val="21"/>
                    </w:rPr>
                    <w:t>4</w:t>
                  </w:r>
                </w:p>
              </w:tc>
              <w:tc>
                <w:tcPr>
                  <w:tcW w:w="2914" w:type="pct"/>
                  <w:tcBorders>
                    <w:top w:val="single" w:color="auto" w:sz="6" w:space="0"/>
                    <w:left w:val="single" w:color="auto" w:sz="6" w:space="0"/>
                    <w:bottom w:val="single" w:color="auto" w:sz="4" w:space="0"/>
                    <w:right w:val="single" w:color="auto" w:sz="6" w:space="0"/>
                  </w:tcBorders>
                  <w:vAlign w:val="center"/>
                </w:tcPr>
                <w:p>
                  <w:pPr>
                    <w:adjustRightInd w:val="0"/>
                    <w:snapToGrid w:val="0"/>
                    <w:ind w:firstLine="420" w:firstLineChars="200"/>
                    <w:rPr>
                      <w:szCs w:val="21"/>
                    </w:rPr>
                  </w:pPr>
                  <w:r>
                    <w:rPr>
                      <w:rFonts w:hint="eastAsia"/>
                      <w:szCs w:val="21"/>
                    </w:rPr>
                    <w:t>请滁州市环境保护局督促开发区认证落实《跟踪评价》提出的整改任务，将工作开展的总体情况、跟踪评价中发现的主要问题、取得成效以及整改完成情况等形成跟踪评价工作总结报送我厅备案</w:t>
                  </w:r>
                </w:p>
              </w:tc>
              <w:tc>
                <w:tcPr>
                  <w:tcW w:w="1208" w:type="pct"/>
                  <w:tcBorders>
                    <w:top w:val="single" w:color="auto" w:sz="6" w:space="0"/>
                    <w:left w:val="single" w:color="auto" w:sz="6" w:space="0"/>
                    <w:bottom w:val="single" w:color="auto" w:sz="4" w:space="0"/>
                    <w:right w:val="single" w:color="auto" w:sz="6" w:space="0"/>
                  </w:tcBorders>
                  <w:vAlign w:val="center"/>
                </w:tcPr>
                <w:p>
                  <w:pPr>
                    <w:adjustRightInd w:val="0"/>
                    <w:snapToGrid w:val="0"/>
                    <w:jc w:val="center"/>
                    <w:rPr>
                      <w:szCs w:val="21"/>
                    </w:rPr>
                  </w:pPr>
                  <w:r>
                    <w:rPr>
                      <w:rFonts w:hint="eastAsia"/>
                      <w:szCs w:val="21"/>
                    </w:rPr>
                    <w:t>/</w:t>
                  </w:r>
                </w:p>
              </w:tc>
              <w:tc>
                <w:tcPr>
                  <w:tcW w:w="516" w:type="pct"/>
                  <w:tcBorders>
                    <w:top w:val="single" w:color="auto" w:sz="6" w:space="0"/>
                    <w:left w:val="single" w:color="auto" w:sz="6" w:space="0"/>
                    <w:bottom w:val="single" w:color="auto" w:sz="4" w:space="0"/>
                    <w:right w:val="single" w:color="auto" w:sz="4" w:space="0"/>
                  </w:tcBorders>
                  <w:vAlign w:val="center"/>
                </w:tcPr>
                <w:p>
                  <w:pPr>
                    <w:adjustRightInd w:val="0"/>
                    <w:snapToGrid w:val="0"/>
                    <w:jc w:val="center"/>
                    <w:rPr>
                      <w:szCs w:val="21"/>
                    </w:rPr>
                  </w:pPr>
                  <w:r>
                    <w:rPr>
                      <w:rFonts w:hint="eastAsia"/>
                      <w:szCs w:val="21"/>
                    </w:rPr>
                    <w:t>/</w:t>
                  </w:r>
                </w:p>
              </w:tc>
            </w:tr>
          </w:tbl>
          <w:p>
            <w:pPr>
              <w:spacing w:before="120" w:beforeLines="50" w:line="360" w:lineRule="auto"/>
              <w:ind w:firstLine="472" w:firstLineChars="200"/>
              <w:jc w:val="left"/>
              <w:rPr>
                <w:spacing w:val="-2"/>
                <w:sz w:val="24"/>
              </w:rPr>
            </w:pPr>
            <w:r>
              <w:rPr>
                <w:spacing w:val="-2"/>
                <w:sz w:val="24"/>
              </w:rPr>
              <w:t>由上表分析可知，本项目符合《关于苏滁现代产业园规划环境影响跟踪评价审查意见的函》（皖环函[2018]1590号）中的规定要求。</w:t>
            </w:r>
          </w:p>
          <w:p>
            <w:pPr>
              <w:spacing w:line="360" w:lineRule="auto"/>
              <w:ind w:firstLine="472" w:firstLineChars="200"/>
              <w:jc w:val="left"/>
              <w:rPr>
                <w:sz w:val="24"/>
              </w:rPr>
            </w:pPr>
            <w:r>
              <w:rPr>
                <w:rFonts w:hint="eastAsia"/>
                <w:spacing w:val="-2"/>
                <w:sz w:val="24"/>
              </w:rPr>
              <w:t>因此，本项目的建设符合当地的政策要求。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506" w:type="dxa"/>
            <w:vAlign w:val="center"/>
          </w:tcPr>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r>
              <w:rPr>
                <w:rFonts w:hint="eastAsia"/>
                <w:sz w:val="28"/>
                <w:szCs w:val="28"/>
              </w:rPr>
              <w:t>其他符合性分析</w:t>
            </w:r>
          </w:p>
          <w:p>
            <w:pPr>
              <w:spacing w:line="360" w:lineRule="auto"/>
              <w:rPr>
                <w:b/>
                <w:bCs/>
                <w:spacing w:val="-2"/>
                <w:sz w:val="24"/>
              </w:rPr>
            </w:pPr>
          </w:p>
          <w:p>
            <w:pPr>
              <w:spacing w:line="360" w:lineRule="auto"/>
              <w:ind w:firstLine="474" w:firstLineChars="200"/>
              <w:rPr>
                <w:b/>
                <w:bCs/>
                <w:spacing w:val="-2"/>
                <w:sz w:val="24"/>
              </w:rPr>
            </w:pPr>
          </w:p>
          <w:p>
            <w:pPr>
              <w:spacing w:line="360" w:lineRule="auto"/>
              <w:ind w:firstLine="474" w:firstLineChars="200"/>
              <w:rPr>
                <w:b/>
                <w:bCs/>
                <w:spacing w:val="-2"/>
                <w:sz w:val="24"/>
              </w:rPr>
            </w:pPr>
          </w:p>
          <w:p>
            <w:pPr>
              <w:spacing w:line="360" w:lineRule="auto"/>
              <w:ind w:firstLine="474" w:firstLineChars="200"/>
              <w:rPr>
                <w:b/>
                <w:bCs/>
                <w:spacing w:val="-2"/>
                <w:sz w:val="24"/>
              </w:rPr>
            </w:pPr>
          </w:p>
          <w:p>
            <w:pPr>
              <w:spacing w:line="360" w:lineRule="auto"/>
              <w:ind w:firstLine="474" w:firstLineChars="200"/>
              <w:rPr>
                <w:b/>
                <w:bCs/>
                <w:spacing w:val="-2"/>
                <w:sz w:val="24"/>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c>
          <w:tcPr>
            <w:tcW w:w="8364" w:type="dxa"/>
            <w:gridSpan w:val="6"/>
            <w:vAlign w:val="center"/>
          </w:tcPr>
          <w:p>
            <w:pPr>
              <w:snapToGrid w:val="0"/>
              <w:spacing w:line="360" w:lineRule="auto"/>
              <w:rPr>
                <w:b/>
                <w:bCs/>
                <w:sz w:val="24"/>
              </w:rPr>
            </w:pPr>
            <w:r>
              <w:rPr>
                <w:rFonts w:hint="eastAsia"/>
                <w:b/>
                <w:bCs/>
                <w:sz w:val="24"/>
              </w:rPr>
              <w:t>1、</w:t>
            </w:r>
            <w:r>
              <w:rPr>
                <w:b/>
                <w:bCs/>
                <w:sz w:val="24"/>
              </w:rPr>
              <w:t>产业政策分析</w:t>
            </w:r>
          </w:p>
          <w:p>
            <w:pPr>
              <w:snapToGrid w:val="0"/>
              <w:spacing w:line="360" w:lineRule="auto"/>
              <w:ind w:firstLine="480" w:firstLineChars="200"/>
              <w:rPr>
                <w:sz w:val="24"/>
              </w:rPr>
            </w:pPr>
            <w:r>
              <w:rPr>
                <w:sz w:val="24"/>
              </w:rPr>
              <w:t>根据国家发改委第 21 号令《产业结构调整指导目录》（2019 年本），本项目属于其中规定的</w:t>
            </w:r>
            <w:r>
              <w:rPr>
                <w:rFonts w:hint="eastAsia"/>
                <w:sz w:val="24"/>
              </w:rPr>
              <w:t>鼓励类</w:t>
            </w:r>
            <w:r>
              <w:rPr>
                <w:sz w:val="24"/>
              </w:rPr>
              <w:t>，</w:t>
            </w:r>
            <w:r>
              <w:rPr>
                <w:rFonts w:hint="eastAsia"/>
                <w:sz w:val="24"/>
              </w:rPr>
              <w:t>根据《外商投资产业指导目录》（2019 年版），本项目属于三、制造业 （二）食品制造 27烘焙食品（含使用天然可可豆的巧克力及其制品）、方便食品及其相关配料的开发、生产。符合外商投资优势产业目录中绿色食品生产。</w:t>
            </w:r>
            <w:r>
              <w:rPr>
                <w:sz w:val="24"/>
              </w:rPr>
              <w:t>因此项目建设符合国家和地方产业政策。</w:t>
            </w:r>
          </w:p>
          <w:p>
            <w:pPr>
              <w:snapToGrid w:val="0"/>
              <w:spacing w:line="360" w:lineRule="auto"/>
              <w:ind w:firstLine="480" w:firstLineChars="200"/>
              <w:rPr>
                <w:sz w:val="24"/>
              </w:rPr>
            </w:pPr>
            <w:r>
              <w:rPr>
                <w:sz w:val="24"/>
              </w:rPr>
              <w:t>本项目所用设备不属于《部分工业行业淘汰落后生产工艺装备和产品指导目录（2010 年本）》（国家工业和信息化部，工产业[2010]第 122 号）。综上分析本项目符合国家产业政策。</w:t>
            </w:r>
          </w:p>
          <w:p>
            <w:pPr>
              <w:snapToGrid w:val="0"/>
              <w:spacing w:line="360" w:lineRule="auto"/>
              <w:ind w:firstLine="472" w:firstLineChars="200"/>
              <w:rPr>
                <w:sz w:val="24"/>
              </w:rPr>
            </w:pPr>
            <w:r>
              <w:rPr>
                <w:spacing w:val="-2"/>
                <w:sz w:val="24"/>
              </w:rPr>
              <w:t>项目已取得</w:t>
            </w:r>
            <w:r>
              <w:rPr>
                <w:rFonts w:hint="eastAsia"/>
                <w:sz w:val="24"/>
              </w:rPr>
              <w:t>苏滁产业园经发局</w:t>
            </w:r>
            <w:r>
              <w:rPr>
                <w:spacing w:val="-2"/>
                <w:sz w:val="24"/>
              </w:rPr>
              <w:t>关于本项目的备案文件（项目</w:t>
            </w:r>
            <w:r>
              <w:rPr>
                <w:rFonts w:hint="eastAsia"/>
                <w:spacing w:val="-2"/>
                <w:sz w:val="24"/>
              </w:rPr>
              <w:t>代码</w:t>
            </w:r>
            <w:r>
              <w:rPr>
                <w:spacing w:val="-2"/>
                <w:sz w:val="24"/>
              </w:rPr>
              <w:t>：</w:t>
            </w:r>
            <w:r>
              <w:rPr>
                <w:rFonts w:hint="eastAsia"/>
                <w:sz w:val="24"/>
              </w:rPr>
              <w:t>2101-341171-04-02-525174</w:t>
            </w:r>
            <w:r>
              <w:rPr>
                <w:spacing w:val="-2"/>
                <w:sz w:val="24"/>
              </w:rPr>
              <w:t>，详见附件</w:t>
            </w:r>
            <w:r>
              <w:rPr>
                <w:rFonts w:hint="eastAsia"/>
                <w:spacing w:val="-2"/>
                <w:sz w:val="24"/>
              </w:rPr>
              <w:t>1</w:t>
            </w:r>
            <w:r>
              <w:rPr>
                <w:spacing w:val="-2"/>
                <w:sz w:val="24"/>
              </w:rPr>
              <w:t>），因此，本项目的建设符合国家和地方产业政策要求。</w:t>
            </w:r>
          </w:p>
          <w:p>
            <w:pPr>
              <w:spacing w:line="360" w:lineRule="auto"/>
              <w:jc w:val="left"/>
              <w:rPr>
                <w:b/>
                <w:spacing w:val="-2"/>
                <w:sz w:val="24"/>
              </w:rPr>
            </w:pPr>
            <w:r>
              <w:rPr>
                <w:rFonts w:hint="eastAsia"/>
                <w:b/>
                <w:spacing w:val="-2"/>
                <w:sz w:val="24"/>
              </w:rPr>
              <w:t>2、</w:t>
            </w:r>
            <w:r>
              <w:rPr>
                <w:b/>
                <w:spacing w:val="-2"/>
                <w:sz w:val="24"/>
              </w:rPr>
              <w:t>与《关于以改善环境质量为核心加强环境影响评价管理的通知》中“三线一单”相符性分析</w:t>
            </w:r>
            <w:r>
              <w:rPr>
                <w:rFonts w:hint="eastAsia"/>
                <w:b/>
                <w:spacing w:val="-2"/>
                <w:sz w:val="24"/>
              </w:rPr>
              <w:t>。</w:t>
            </w:r>
            <w:r>
              <w:rPr>
                <w:b/>
                <w:spacing w:val="-2"/>
                <w:sz w:val="24"/>
              </w:rPr>
              <w:t xml:space="preserve"> </w:t>
            </w:r>
          </w:p>
          <w:p>
            <w:pPr>
              <w:spacing w:line="360" w:lineRule="auto"/>
              <w:ind w:firstLine="480" w:firstLineChars="200"/>
              <w:rPr>
                <w:sz w:val="24"/>
              </w:rPr>
            </w:pPr>
            <w:r>
              <w:rPr>
                <w:sz w:val="24"/>
              </w:rPr>
              <w:t>“</w:t>
            </w:r>
            <w:r>
              <w:rPr>
                <w:rFonts w:ascii="宋体" w:hAnsi="宋体"/>
                <w:sz w:val="24"/>
              </w:rPr>
              <w:t>三线一单</w:t>
            </w:r>
            <w:r>
              <w:rPr>
                <w:sz w:val="24"/>
              </w:rPr>
              <w:t>”</w:t>
            </w:r>
            <w:r>
              <w:rPr>
                <w:rFonts w:ascii="宋体" w:hAnsi="宋体"/>
                <w:sz w:val="24"/>
              </w:rPr>
              <w:t>是指生态保护红线、环境质量底线、资源利用上线和环境准入负面清单。</w:t>
            </w:r>
          </w:p>
          <w:p>
            <w:pPr>
              <w:spacing w:line="360" w:lineRule="auto"/>
              <w:ind w:firstLine="480" w:firstLineChars="200"/>
              <w:rPr>
                <w:sz w:val="24"/>
              </w:rPr>
            </w:pPr>
            <w:r>
              <w:rPr>
                <w:rFonts w:hint="eastAsia"/>
                <w:sz w:val="24"/>
              </w:rPr>
              <w:t>①</w:t>
            </w:r>
            <w:r>
              <w:rPr>
                <w:rFonts w:ascii="宋体" w:hAnsi="宋体"/>
                <w:sz w:val="24"/>
              </w:rPr>
              <w:t>生态保护红线</w:t>
            </w:r>
          </w:p>
          <w:p>
            <w:pPr>
              <w:spacing w:line="360" w:lineRule="auto"/>
              <w:ind w:firstLine="480" w:firstLineChars="200"/>
              <w:rPr>
                <w:sz w:val="24"/>
              </w:rPr>
            </w:pPr>
            <w:r>
              <w:rPr>
                <w:rFonts w:ascii="宋体" w:hAnsi="宋体"/>
                <w:sz w:val="24"/>
              </w:rPr>
              <w:t>根据《安徽省人民政府关于发布安徽省生态保护红线的通知》（皖政秘</w:t>
            </w:r>
            <w:r>
              <w:rPr>
                <w:sz w:val="24"/>
              </w:rPr>
              <w:t>[2018]120</w:t>
            </w:r>
            <w:r>
              <w:rPr>
                <w:rFonts w:ascii="宋体" w:hAnsi="宋体"/>
                <w:sz w:val="24"/>
              </w:rPr>
              <w:t>号），本项目位于苏滁现代产业园内，</w:t>
            </w:r>
            <w:r>
              <w:rPr>
                <w:rFonts w:ascii="宋体" w:hAnsi="宋体"/>
                <w:spacing w:val="-2"/>
                <w:kern w:val="28"/>
                <w:sz w:val="24"/>
              </w:rPr>
              <w:t>项目周围</w:t>
            </w:r>
            <w:r>
              <w:rPr>
                <w:spacing w:val="-2"/>
                <w:kern w:val="28"/>
                <w:sz w:val="24"/>
              </w:rPr>
              <w:t>500m</w:t>
            </w:r>
            <w:r>
              <w:rPr>
                <w:rFonts w:ascii="宋体" w:hAnsi="宋体"/>
                <w:spacing w:val="-2"/>
                <w:kern w:val="28"/>
                <w:sz w:val="24"/>
              </w:rPr>
              <w:t>范围内无文物保护、风景名胜区、饮用水源地等敏感环境保护目标</w:t>
            </w:r>
            <w:r>
              <w:rPr>
                <w:rFonts w:ascii="宋体" w:hAnsi="宋体"/>
                <w:sz w:val="24"/>
              </w:rPr>
              <w:t>，符合生态保护红线要求</w:t>
            </w:r>
            <w:r>
              <w:rPr>
                <w:rFonts w:hAnsi="宋体"/>
                <w:sz w:val="24"/>
              </w:rPr>
              <w:t>（生态红线图件附图</w:t>
            </w:r>
            <w:r>
              <w:rPr>
                <w:rFonts w:hint="eastAsia"/>
                <w:sz w:val="24"/>
              </w:rPr>
              <w:t>1</w:t>
            </w:r>
            <w:r>
              <w:rPr>
                <w:rFonts w:hAnsi="宋体"/>
                <w:sz w:val="24"/>
              </w:rPr>
              <w:t>）。</w:t>
            </w:r>
          </w:p>
          <w:p>
            <w:pPr>
              <w:spacing w:line="360" w:lineRule="auto"/>
              <w:ind w:firstLine="480" w:firstLineChars="200"/>
              <w:rPr>
                <w:sz w:val="24"/>
              </w:rPr>
            </w:pPr>
            <w:r>
              <w:rPr>
                <w:rFonts w:hint="eastAsia" w:ascii="宋体" w:hAnsi="宋体"/>
                <w:sz w:val="24"/>
              </w:rPr>
              <w:t>②</w:t>
            </w:r>
            <w:r>
              <w:rPr>
                <w:rFonts w:ascii="宋体" w:hAnsi="宋体"/>
                <w:sz w:val="24"/>
              </w:rPr>
              <w:t>环境质量底线</w:t>
            </w:r>
          </w:p>
          <w:p>
            <w:pPr>
              <w:spacing w:line="360" w:lineRule="auto"/>
              <w:ind w:firstLine="480" w:firstLineChars="200"/>
              <w:rPr>
                <w:sz w:val="24"/>
              </w:rPr>
            </w:pPr>
            <w:r>
              <w:rPr>
                <w:rFonts w:ascii="宋体" w:hAnsi="宋体"/>
                <w:sz w:val="24"/>
              </w:rPr>
              <w:t>根据环境质量现状公报可知，评价区域内除</w:t>
            </w:r>
            <w:r>
              <w:rPr>
                <w:sz w:val="24"/>
              </w:rPr>
              <w:t>PM</w:t>
            </w:r>
            <w:r>
              <w:rPr>
                <w:sz w:val="24"/>
                <w:vertAlign w:val="subscript"/>
              </w:rPr>
              <w:t>10</w:t>
            </w:r>
            <w:r>
              <w:rPr>
                <w:rFonts w:ascii="宋体" w:hAnsi="宋体"/>
                <w:sz w:val="24"/>
              </w:rPr>
              <w:t>、</w:t>
            </w:r>
            <w:r>
              <w:rPr>
                <w:sz w:val="24"/>
              </w:rPr>
              <w:t>PM</w:t>
            </w:r>
            <w:r>
              <w:rPr>
                <w:sz w:val="24"/>
                <w:vertAlign w:val="subscript"/>
              </w:rPr>
              <w:t>2.5</w:t>
            </w:r>
            <w:r>
              <w:rPr>
                <w:rFonts w:ascii="宋体" w:hAnsi="宋体"/>
                <w:sz w:val="24"/>
              </w:rPr>
              <w:t>外，其余常规因子均满足《环境空气质量标准》（</w:t>
            </w:r>
            <w:r>
              <w:rPr>
                <w:sz w:val="24"/>
              </w:rPr>
              <w:t>GB3095-2012</w:t>
            </w:r>
            <w:r>
              <w:rPr>
                <w:rFonts w:ascii="宋体" w:hAnsi="宋体"/>
                <w:sz w:val="24"/>
              </w:rPr>
              <w:t>）中二级标准的要求</w:t>
            </w:r>
            <w:r>
              <w:rPr>
                <w:rFonts w:hint="eastAsia" w:ascii="宋体" w:hAnsi="宋体"/>
                <w:sz w:val="24"/>
              </w:rPr>
              <w:t>，</w:t>
            </w:r>
            <w:r>
              <w:rPr>
                <w:rFonts w:ascii="宋体" w:hAnsi="宋体"/>
                <w:sz w:val="24"/>
              </w:rPr>
              <w:t>为不达标区</w:t>
            </w:r>
            <w:r>
              <w:rPr>
                <w:rFonts w:hint="eastAsia" w:ascii="宋体" w:hAnsi="宋体"/>
                <w:sz w:val="24"/>
              </w:rPr>
              <w:t>，项目废气处理后达标排放，对大气环境影响较小</w:t>
            </w:r>
            <w:r>
              <w:rPr>
                <w:rFonts w:ascii="宋体" w:hAnsi="宋体"/>
                <w:sz w:val="24"/>
              </w:rPr>
              <w:t>；</w:t>
            </w:r>
            <w:r>
              <w:rPr>
                <w:rFonts w:ascii="宋体" w:hAnsi="宋体"/>
                <w:spacing w:val="-6"/>
                <w:sz w:val="24"/>
              </w:rPr>
              <w:t>地表水</w:t>
            </w:r>
            <w:r>
              <w:rPr>
                <w:rFonts w:ascii="宋体" w:hAnsi="宋体"/>
                <w:sz w:val="24"/>
              </w:rPr>
              <w:t>清流河</w:t>
            </w:r>
            <w:r>
              <w:rPr>
                <w:rFonts w:hint="eastAsia" w:ascii="宋体" w:hAnsi="宋体"/>
                <w:sz w:val="24"/>
              </w:rPr>
              <w:t>除</w:t>
            </w:r>
            <w:r>
              <w:rPr>
                <w:rFonts w:hint="eastAsia" w:hAnsi="宋体"/>
                <w:sz w:val="24"/>
              </w:rPr>
              <w:t>COD、BOD</w:t>
            </w:r>
            <w:r>
              <w:rPr>
                <w:rFonts w:hint="eastAsia" w:hAnsi="宋体"/>
                <w:sz w:val="24"/>
                <w:vertAlign w:val="subscript"/>
              </w:rPr>
              <w:t>5</w:t>
            </w:r>
            <w:r>
              <w:rPr>
                <w:rFonts w:hint="eastAsia" w:hAnsi="宋体"/>
                <w:sz w:val="24"/>
              </w:rPr>
              <w:t>、总磷</w:t>
            </w:r>
            <w:r>
              <w:rPr>
                <w:rFonts w:hint="eastAsia" w:ascii="宋体" w:hAnsi="宋体"/>
                <w:sz w:val="24"/>
              </w:rPr>
              <w:t>外</w:t>
            </w:r>
            <w:r>
              <w:rPr>
                <w:rFonts w:ascii="宋体" w:hAnsi="宋体"/>
                <w:spacing w:val="-6"/>
                <w:sz w:val="24"/>
              </w:rPr>
              <w:t>各水质监测因子</w:t>
            </w:r>
            <w:r>
              <w:rPr>
                <w:rFonts w:ascii="宋体" w:hAnsi="宋体"/>
                <w:sz w:val="24"/>
              </w:rPr>
              <w:t>均满足《地表水环境质量标准》（</w:t>
            </w:r>
            <w:r>
              <w:rPr>
                <w:sz w:val="24"/>
              </w:rPr>
              <w:t>GB3838-2002</w:t>
            </w:r>
            <w:r>
              <w:rPr>
                <w:rFonts w:ascii="宋体" w:hAnsi="宋体"/>
                <w:sz w:val="24"/>
              </w:rPr>
              <w:t>）中</w:t>
            </w:r>
            <w:r>
              <w:rPr>
                <w:sz w:val="24"/>
              </w:rPr>
              <w:t>Ⅳ</w:t>
            </w:r>
            <w:r>
              <w:rPr>
                <w:rFonts w:ascii="宋体" w:hAnsi="宋体"/>
                <w:sz w:val="24"/>
              </w:rPr>
              <w:t>类标准的要求</w:t>
            </w:r>
            <w:r>
              <w:rPr>
                <w:rFonts w:hint="eastAsia" w:ascii="宋体" w:hAnsi="宋体"/>
                <w:sz w:val="24"/>
              </w:rPr>
              <w:t>，</w:t>
            </w:r>
            <w:r>
              <w:rPr>
                <w:rFonts w:ascii="宋体" w:hAnsi="宋体"/>
                <w:sz w:val="24"/>
              </w:rPr>
              <w:t>项目生活污水经化粪池预处理后</w:t>
            </w:r>
            <w:r>
              <w:rPr>
                <w:rFonts w:hint="eastAsia" w:ascii="宋体" w:hAnsi="宋体"/>
                <w:sz w:val="24"/>
              </w:rPr>
              <w:t>与经污水处理站处理后的生产废水</w:t>
            </w:r>
            <w:r>
              <w:rPr>
                <w:rFonts w:ascii="宋体" w:hAnsi="宋体"/>
                <w:sz w:val="24"/>
              </w:rPr>
              <w:t>排入滁州市第二污水处理厂处理</w:t>
            </w:r>
            <w:r>
              <w:rPr>
                <w:rFonts w:hint="eastAsia" w:ascii="宋体" w:hAnsi="宋体"/>
                <w:sz w:val="24"/>
              </w:rPr>
              <w:t>，处理后对地表水影响较小</w:t>
            </w:r>
            <w:r>
              <w:rPr>
                <w:rFonts w:ascii="宋体" w:hAnsi="宋体"/>
                <w:sz w:val="24"/>
              </w:rPr>
              <w:t>；项目厂界声环境现状能够满足《声环境质量标准》（</w:t>
            </w:r>
            <w:r>
              <w:rPr>
                <w:sz w:val="24"/>
              </w:rPr>
              <w:t>GB3096-2008</w:t>
            </w:r>
            <w:r>
              <w:rPr>
                <w:rFonts w:ascii="宋体" w:hAnsi="宋体"/>
                <w:sz w:val="24"/>
              </w:rPr>
              <w:t>）中</w:t>
            </w:r>
            <w:r>
              <w:rPr>
                <w:sz w:val="24"/>
              </w:rPr>
              <w:t>3</w:t>
            </w:r>
            <w:r>
              <w:rPr>
                <w:rFonts w:ascii="宋体" w:hAnsi="宋体"/>
                <w:sz w:val="24"/>
              </w:rPr>
              <w:t>类标准要求。项目产生的各类废气经处理后能够达标排放，项目废水产生量较小且能够处理达标排放，项目实施后不会降低区域环境功能区划，故符合环境质量底线要求。</w:t>
            </w:r>
          </w:p>
          <w:p>
            <w:pPr>
              <w:spacing w:line="360" w:lineRule="auto"/>
              <w:ind w:firstLine="480" w:firstLineChars="200"/>
              <w:rPr>
                <w:sz w:val="24"/>
              </w:rPr>
            </w:pPr>
            <w:r>
              <w:rPr>
                <w:rFonts w:hint="eastAsia"/>
                <w:sz w:val="24"/>
              </w:rPr>
              <w:t>③</w:t>
            </w:r>
            <w:r>
              <w:rPr>
                <w:rFonts w:ascii="宋体" w:hAnsi="宋体"/>
                <w:sz w:val="24"/>
              </w:rPr>
              <w:t>资源利用上线</w:t>
            </w:r>
          </w:p>
          <w:p>
            <w:pPr>
              <w:spacing w:line="360" w:lineRule="auto"/>
              <w:ind w:firstLine="480" w:firstLineChars="200"/>
              <w:rPr>
                <w:sz w:val="24"/>
              </w:rPr>
            </w:pPr>
            <w:r>
              <w:rPr>
                <w:rFonts w:ascii="宋体" w:hAnsi="宋体"/>
                <w:sz w:val="24"/>
              </w:rPr>
              <w:t>项目用水来自市政供水管网，不会达到资源利用上线；项目用电由市政供电管网提供，用气由市政燃气管网提供，亦不会达到资源利用上线。</w:t>
            </w:r>
          </w:p>
          <w:p>
            <w:pPr>
              <w:spacing w:line="360" w:lineRule="auto"/>
              <w:ind w:firstLine="480" w:firstLineChars="200"/>
              <w:rPr>
                <w:sz w:val="24"/>
              </w:rPr>
            </w:pPr>
            <w:r>
              <w:rPr>
                <w:rFonts w:hint="eastAsia"/>
                <w:sz w:val="24"/>
              </w:rPr>
              <w:t>④</w:t>
            </w:r>
            <w:r>
              <w:rPr>
                <w:rFonts w:ascii="宋体" w:hAnsi="宋体"/>
                <w:sz w:val="24"/>
              </w:rPr>
              <w:t>负面清单</w:t>
            </w:r>
          </w:p>
          <w:p>
            <w:pPr>
              <w:widowControl/>
              <w:spacing w:line="360" w:lineRule="auto"/>
              <w:ind w:firstLine="480"/>
              <w:jc w:val="left"/>
              <w:rPr>
                <w:rFonts w:ascii="宋体" w:hAnsi="宋体"/>
                <w:b/>
                <w:bCs/>
                <w:sz w:val="24"/>
              </w:rPr>
            </w:pPr>
            <w:r>
              <w:rPr>
                <w:rFonts w:ascii="宋体" w:hAnsi="宋体"/>
                <w:sz w:val="24"/>
              </w:rPr>
              <w:t>根据《</w:t>
            </w:r>
            <w:r>
              <w:rPr>
                <w:rFonts w:hint="eastAsia" w:ascii="宋体" w:hAnsi="宋体"/>
                <w:sz w:val="24"/>
              </w:rPr>
              <w:t>苏滁现代产业园规划环境影响跟踪评价报告书（报批稿）</w:t>
            </w:r>
            <w:r>
              <w:rPr>
                <w:rFonts w:ascii="宋体" w:hAnsi="宋体"/>
                <w:sz w:val="24"/>
              </w:rPr>
              <w:t>》（江苏润环环境科技有限公司编制，</w:t>
            </w:r>
            <w:r>
              <w:rPr>
                <w:sz w:val="24"/>
              </w:rPr>
              <w:t>2018</w:t>
            </w:r>
            <w:r>
              <w:rPr>
                <w:rFonts w:ascii="宋体" w:hAnsi="宋体"/>
                <w:sz w:val="24"/>
              </w:rPr>
              <w:t>年</w:t>
            </w:r>
            <w:r>
              <w:rPr>
                <w:sz w:val="24"/>
              </w:rPr>
              <w:t>11</w:t>
            </w:r>
            <w:r>
              <w:rPr>
                <w:rFonts w:ascii="宋体" w:hAnsi="宋体"/>
                <w:sz w:val="24"/>
              </w:rPr>
              <w:t>月）中第</w:t>
            </w:r>
            <w:r>
              <w:rPr>
                <w:sz w:val="24"/>
              </w:rPr>
              <w:t>15.4.3</w:t>
            </w:r>
            <w:r>
              <w:rPr>
                <w:rFonts w:ascii="宋体" w:hAnsi="宋体"/>
                <w:sz w:val="24"/>
              </w:rPr>
              <w:t>章节</w:t>
            </w:r>
            <w:r>
              <w:rPr>
                <w:sz w:val="24"/>
              </w:rPr>
              <w:t>“</w:t>
            </w:r>
            <w:r>
              <w:rPr>
                <w:rFonts w:ascii="宋体" w:hAnsi="宋体"/>
                <w:sz w:val="24"/>
              </w:rPr>
              <w:t>环境准入负面清单</w:t>
            </w:r>
            <w:r>
              <w:rPr>
                <w:sz w:val="24"/>
              </w:rPr>
              <w:t>”</w:t>
            </w:r>
            <w:r>
              <w:rPr>
                <w:rFonts w:ascii="宋体" w:hAnsi="宋体"/>
                <w:sz w:val="24"/>
              </w:rPr>
              <w:t>中提出的入区项目环境准入负面清单，详见下表：</w:t>
            </w:r>
          </w:p>
          <w:p>
            <w:pPr>
              <w:widowControl/>
              <w:spacing w:line="360" w:lineRule="auto"/>
              <w:jc w:val="center"/>
              <w:rPr>
                <w:b/>
                <w:bCs/>
                <w:sz w:val="24"/>
              </w:rPr>
            </w:pPr>
            <w:r>
              <w:rPr>
                <w:rFonts w:ascii="宋体" w:hAnsi="宋体"/>
                <w:b/>
                <w:bCs/>
                <w:sz w:val="24"/>
              </w:rPr>
              <w:t>表</w:t>
            </w:r>
            <w:r>
              <w:rPr>
                <w:b/>
                <w:bCs/>
                <w:sz w:val="24"/>
              </w:rPr>
              <w:t>1-</w:t>
            </w:r>
            <w:r>
              <w:rPr>
                <w:rFonts w:hint="eastAsia"/>
                <w:b/>
                <w:bCs/>
                <w:sz w:val="24"/>
              </w:rPr>
              <w:t>3</w:t>
            </w:r>
            <w:r>
              <w:rPr>
                <w:b/>
                <w:bCs/>
                <w:sz w:val="24"/>
              </w:rPr>
              <w:t xml:space="preserve"> </w:t>
            </w:r>
            <w:r>
              <w:rPr>
                <w:rFonts w:ascii="宋体" w:hAnsi="宋体"/>
                <w:b/>
                <w:bCs/>
                <w:sz w:val="24"/>
              </w:rPr>
              <w:t>环境准入负面清单</w:t>
            </w:r>
          </w:p>
          <w:tbl>
            <w:tblPr>
              <w:tblStyle w:val="22"/>
              <w:tblW w:w="7993"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441"/>
              <w:gridCol w:w="427"/>
              <w:gridCol w:w="1133"/>
              <w:gridCol w:w="3899"/>
              <w:gridCol w:w="2093"/>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40" w:hRule="atLeast"/>
                <w:tblHeader/>
                <w:jc w:val="center"/>
              </w:trPr>
              <w:tc>
                <w:tcPr>
                  <w:tcW w:w="441" w:type="dxa"/>
                  <w:tcBorders>
                    <w:top w:val="single" w:color="auto" w:sz="4"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jc w:val="center"/>
                    <w:rPr>
                      <w:b/>
                      <w:bCs/>
                      <w:szCs w:val="21"/>
                    </w:rPr>
                  </w:pPr>
                  <w:r>
                    <w:rPr>
                      <w:b/>
                      <w:bCs/>
                      <w:szCs w:val="21"/>
                    </w:rPr>
                    <w:t>序号</w:t>
                  </w:r>
                </w:p>
              </w:tc>
              <w:tc>
                <w:tcPr>
                  <w:tcW w:w="427"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b/>
                      <w:bCs/>
                      <w:szCs w:val="21"/>
                    </w:rPr>
                  </w:pPr>
                  <w:r>
                    <w:rPr>
                      <w:b/>
                      <w:bCs/>
                      <w:szCs w:val="21"/>
                    </w:rPr>
                    <w:t>类别</w:t>
                  </w:r>
                </w:p>
              </w:tc>
              <w:tc>
                <w:tcPr>
                  <w:tcW w:w="5032" w:type="dxa"/>
                  <w:gridSpan w:val="2"/>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b/>
                      <w:bCs/>
                      <w:szCs w:val="21"/>
                    </w:rPr>
                  </w:pPr>
                  <w:r>
                    <w:rPr>
                      <w:b/>
                      <w:bCs/>
                      <w:szCs w:val="21"/>
                    </w:rPr>
                    <w:t>环境准入负面清单</w:t>
                  </w:r>
                </w:p>
              </w:tc>
              <w:tc>
                <w:tcPr>
                  <w:tcW w:w="2093" w:type="dxa"/>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jc w:val="center"/>
                    <w:rPr>
                      <w:b/>
                      <w:bCs/>
                      <w:szCs w:val="21"/>
                    </w:rPr>
                  </w:pPr>
                  <w:r>
                    <w:rPr>
                      <w:rFonts w:hint="eastAsia"/>
                      <w:b/>
                      <w:bCs/>
                      <w:szCs w:val="21"/>
                    </w:rPr>
                    <w:t>相符性分析</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41" w:type="dxa"/>
                  <w:vMerge w:val="restar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1</w:t>
                  </w:r>
                </w:p>
              </w:tc>
              <w:tc>
                <w:tcPr>
                  <w:tcW w:w="42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行业</w:t>
                  </w:r>
                </w:p>
              </w:tc>
              <w:tc>
                <w:tcPr>
                  <w:tcW w:w="11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电子信息</w:t>
                  </w:r>
                </w:p>
              </w:tc>
              <w:tc>
                <w:tcPr>
                  <w:tcW w:w="389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szCs w:val="21"/>
                    </w:rPr>
                  </w:pPr>
                  <w:r>
                    <w:rPr>
                      <w:szCs w:val="21"/>
                    </w:rPr>
                    <w:t>铅蓄电池、技术落后、能耗高、污染重的家电及电子产业</w:t>
                  </w:r>
                </w:p>
              </w:tc>
              <w:tc>
                <w:tcPr>
                  <w:tcW w:w="2093"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jc w:val="center"/>
                    <w:rPr>
                      <w:szCs w:val="21"/>
                    </w:rPr>
                  </w:pPr>
                  <w:r>
                    <w:rPr>
                      <w:rFonts w:hint="eastAsia"/>
                      <w:szCs w:val="21"/>
                      <w:lang w:eastAsia="zh-CN"/>
                    </w:rPr>
                    <w:t>本项目为食品制造，不属于此几类产业</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atLeast"/>
                <w:jc w:val="center"/>
              </w:trPr>
              <w:tc>
                <w:tcPr>
                  <w:tcW w:w="441" w:type="dxa"/>
                  <w:vMerge w:val="continue"/>
                  <w:tcBorders>
                    <w:top w:val="single" w:color="000000" w:sz="6" w:space="0"/>
                    <w:left w:val="single" w:color="auto" w:sz="4" w:space="0"/>
                    <w:bottom w:val="single" w:color="000000" w:sz="6" w:space="0"/>
                    <w:right w:val="single" w:color="000000" w:sz="6" w:space="0"/>
                  </w:tcBorders>
                  <w:vAlign w:val="center"/>
                </w:tcPr>
                <w:p>
                  <w:pPr>
                    <w:widowControl/>
                    <w:jc w:val="left"/>
                    <w:rPr>
                      <w:szCs w:val="21"/>
                    </w:rPr>
                  </w:pPr>
                </w:p>
              </w:tc>
              <w:tc>
                <w:tcPr>
                  <w:tcW w:w="42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Cs w:val="21"/>
                    </w:rPr>
                  </w:pPr>
                </w:p>
              </w:tc>
              <w:tc>
                <w:tcPr>
                  <w:tcW w:w="11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新材料</w:t>
                  </w:r>
                </w:p>
              </w:tc>
              <w:tc>
                <w:tcPr>
                  <w:tcW w:w="389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szCs w:val="21"/>
                    </w:rPr>
                  </w:pPr>
                  <w:r>
                    <w:rPr>
                      <w:szCs w:val="21"/>
                    </w:rPr>
                    <w:t>低水平、高能耗、高水耗、高污染的材料产业</w:t>
                  </w:r>
                </w:p>
              </w:tc>
              <w:tc>
                <w:tcPr>
                  <w:tcW w:w="2093" w:type="dxa"/>
                  <w:vMerge w:val="continue"/>
                  <w:tcBorders>
                    <w:left w:val="single" w:color="000000" w:sz="6" w:space="0"/>
                    <w:right w:val="single" w:color="auto" w:sz="4" w:space="0"/>
                  </w:tcBorders>
                  <w:tcMar>
                    <w:top w:w="0" w:type="dxa"/>
                    <w:left w:w="108" w:type="dxa"/>
                    <w:bottom w:w="0" w:type="dxa"/>
                    <w:right w:w="108" w:type="dxa"/>
                  </w:tcMar>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atLeast"/>
                <w:jc w:val="center"/>
              </w:trPr>
              <w:tc>
                <w:tcPr>
                  <w:tcW w:w="441" w:type="dxa"/>
                  <w:vMerge w:val="continue"/>
                  <w:tcBorders>
                    <w:top w:val="single" w:color="000000" w:sz="6" w:space="0"/>
                    <w:left w:val="single" w:color="auto" w:sz="4" w:space="0"/>
                    <w:bottom w:val="single" w:color="000000" w:sz="6" w:space="0"/>
                    <w:right w:val="single" w:color="000000" w:sz="6" w:space="0"/>
                  </w:tcBorders>
                  <w:vAlign w:val="center"/>
                </w:tcPr>
                <w:p>
                  <w:pPr>
                    <w:widowControl/>
                    <w:jc w:val="left"/>
                    <w:rPr>
                      <w:szCs w:val="21"/>
                    </w:rPr>
                  </w:pPr>
                </w:p>
              </w:tc>
              <w:tc>
                <w:tcPr>
                  <w:tcW w:w="42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Cs w:val="21"/>
                    </w:rPr>
                  </w:pPr>
                </w:p>
              </w:tc>
              <w:tc>
                <w:tcPr>
                  <w:tcW w:w="11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生物医学</w:t>
                  </w:r>
                </w:p>
              </w:tc>
              <w:tc>
                <w:tcPr>
                  <w:tcW w:w="389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szCs w:val="21"/>
                    </w:rPr>
                  </w:pPr>
                  <w:r>
                    <w:rPr>
                      <w:szCs w:val="21"/>
                    </w:rPr>
                    <w:t>原料药、医药中间体、合成药、重污染的非生物医药产业</w:t>
                  </w:r>
                </w:p>
              </w:tc>
              <w:tc>
                <w:tcPr>
                  <w:tcW w:w="2093"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atLeast"/>
                <w:jc w:val="center"/>
              </w:trPr>
              <w:tc>
                <w:tcPr>
                  <w:tcW w:w="441" w:type="dxa"/>
                  <w:vMerge w:val="restar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2</w:t>
                  </w:r>
                </w:p>
              </w:tc>
              <w:tc>
                <w:tcPr>
                  <w:tcW w:w="42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工艺</w:t>
                  </w:r>
                </w:p>
              </w:tc>
              <w:tc>
                <w:tcPr>
                  <w:tcW w:w="11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电子信息</w:t>
                  </w:r>
                </w:p>
              </w:tc>
              <w:tc>
                <w:tcPr>
                  <w:tcW w:w="389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无重点重金属总量指标的涉重电镀工艺</w:t>
                  </w:r>
                </w:p>
              </w:tc>
              <w:tc>
                <w:tcPr>
                  <w:tcW w:w="2093"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jc w:val="center"/>
                    <w:rPr>
                      <w:rFonts w:hint="eastAsia" w:eastAsia="宋体"/>
                      <w:szCs w:val="21"/>
                      <w:lang w:eastAsia="zh-CN"/>
                    </w:rPr>
                  </w:pPr>
                  <w:r>
                    <w:rPr>
                      <w:rFonts w:hint="eastAsia"/>
                      <w:szCs w:val="21"/>
                      <w:lang w:eastAsia="zh-CN"/>
                    </w:rPr>
                    <w:t>本项目不涉及此几类产业</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atLeast"/>
                <w:jc w:val="center"/>
              </w:trPr>
              <w:tc>
                <w:tcPr>
                  <w:tcW w:w="441" w:type="dxa"/>
                  <w:vMerge w:val="continue"/>
                  <w:tcBorders>
                    <w:top w:val="single" w:color="000000" w:sz="6" w:space="0"/>
                    <w:left w:val="single" w:color="auto" w:sz="4" w:space="0"/>
                    <w:bottom w:val="single" w:color="000000" w:sz="6" w:space="0"/>
                    <w:right w:val="single" w:color="000000" w:sz="6" w:space="0"/>
                  </w:tcBorders>
                  <w:vAlign w:val="center"/>
                </w:tcPr>
                <w:p>
                  <w:pPr>
                    <w:widowControl/>
                    <w:jc w:val="left"/>
                    <w:rPr>
                      <w:szCs w:val="21"/>
                    </w:rPr>
                  </w:pPr>
                </w:p>
              </w:tc>
              <w:tc>
                <w:tcPr>
                  <w:tcW w:w="42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Cs w:val="21"/>
                    </w:rPr>
                  </w:pPr>
                </w:p>
              </w:tc>
              <w:tc>
                <w:tcPr>
                  <w:tcW w:w="11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新材料</w:t>
                  </w:r>
                </w:p>
              </w:tc>
              <w:tc>
                <w:tcPr>
                  <w:tcW w:w="389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szCs w:val="21"/>
                    </w:rPr>
                  </w:pPr>
                  <w:r>
                    <w:rPr>
                      <w:szCs w:val="21"/>
                    </w:rPr>
                    <w:t>1</w:t>
                  </w:r>
                  <w:r>
                    <w:rPr>
                      <w:rFonts w:ascii="宋体" w:hAnsi="宋体"/>
                      <w:szCs w:val="21"/>
                    </w:rPr>
                    <w:t>、超薄型（厚度低于</w:t>
                  </w:r>
                  <w:r>
                    <w:rPr>
                      <w:szCs w:val="21"/>
                    </w:rPr>
                    <w:t>0.025</w:t>
                  </w:r>
                  <w:r>
                    <w:rPr>
                      <w:rFonts w:ascii="宋体" w:hAnsi="宋体"/>
                      <w:szCs w:val="21"/>
                    </w:rPr>
                    <w:t>毫米）塑料购物袋生产；</w:t>
                  </w:r>
                </w:p>
                <w:p>
                  <w:pPr>
                    <w:widowControl/>
                    <w:rPr>
                      <w:szCs w:val="21"/>
                    </w:rPr>
                  </w:pPr>
                  <w:r>
                    <w:rPr>
                      <w:szCs w:val="21"/>
                    </w:rPr>
                    <w:t>2</w:t>
                  </w:r>
                  <w:r>
                    <w:rPr>
                      <w:rFonts w:ascii="宋体" w:hAnsi="宋体"/>
                      <w:szCs w:val="21"/>
                    </w:rPr>
                    <w:t>、以氯氟烃（</w:t>
                  </w:r>
                  <w:r>
                    <w:rPr>
                      <w:szCs w:val="21"/>
                    </w:rPr>
                    <w:t>CFCs</w:t>
                  </w:r>
                  <w:r>
                    <w:rPr>
                      <w:rFonts w:ascii="宋体" w:hAnsi="宋体"/>
                      <w:szCs w:val="21"/>
                    </w:rPr>
                    <w:t>）为制冷剂和发泡剂的冰箱、冰柜、汽车空调器、工业商业用冷藏、制冷设备生产线；</w:t>
                  </w:r>
                </w:p>
                <w:p>
                  <w:pPr>
                    <w:widowControl/>
                    <w:rPr>
                      <w:szCs w:val="21"/>
                    </w:rPr>
                  </w:pPr>
                  <w:r>
                    <w:rPr>
                      <w:szCs w:val="21"/>
                    </w:rPr>
                    <w:t>3</w:t>
                  </w:r>
                  <w:r>
                    <w:rPr>
                      <w:rFonts w:ascii="宋体" w:hAnsi="宋体"/>
                      <w:szCs w:val="21"/>
                    </w:rPr>
                    <w:t>、以氯氟烃（</w:t>
                  </w:r>
                  <w:r>
                    <w:rPr>
                      <w:szCs w:val="21"/>
                    </w:rPr>
                    <w:t>CFCs</w:t>
                  </w:r>
                  <w:r>
                    <w:rPr>
                      <w:rFonts w:ascii="宋体" w:hAnsi="宋体"/>
                      <w:szCs w:val="21"/>
                    </w:rPr>
                    <w:t>）为发泡剂的聚氨酯、聚乙烯、聚苯乙烯泡沫塑料生产；</w:t>
                  </w:r>
                </w:p>
                <w:p>
                  <w:pPr>
                    <w:widowControl/>
                    <w:rPr>
                      <w:szCs w:val="21"/>
                    </w:rPr>
                  </w:pPr>
                  <w:r>
                    <w:rPr>
                      <w:szCs w:val="21"/>
                    </w:rPr>
                    <w:t>4</w:t>
                  </w:r>
                  <w:r>
                    <w:rPr>
                      <w:rFonts w:ascii="宋体" w:hAnsi="宋体"/>
                      <w:szCs w:val="21"/>
                    </w:rPr>
                    <w:t>、四氯化碳（</w:t>
                  </w:r>
                  <w:r>
                    <w:rPr>
                      <w:szCs w:val="21"/>
                    </w:rPr>
                    <w:t>CTC</w:t>
                  </w:r>
                  <w:r>
                    <w:rPr>
                      <w:rFonts w:ascii="宋体" w:hAnsi="宋体"/>
                      <w:szCs w:val="21"/>
                    </w:rPr>
                    <w:t>）为清洗剂的生产工艺；</w:t>
                  </w:r>
                </w:p>
              </w:tc>
              <w:tc>
                <w:tcPr>
                  <w:tcW w:w="2093" w:type="dxa"/>
                  <w:vMerge w:val="continue"/>
                  <w:tcBorders>
                    <w:left w:val="single" w:color="000000" w:sz="6" w:space="0"/>
                    <w:right w:val="single" w:color="auto" w:sz="4" w:space="0"/>
                  </w:tcBorders>
                  <w:tcMar>
                    <w:top w:w="0" w:type="dxa"/>
                    <w:left w:w="108" w:type="dxa"/>
                    <w:bottom w:w="0"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41" w:type="dxa"/>
                  <w:vMerge w:val="continue"/>
                  <w:tcBorders>
                    <w:top w:val="single" w:color="000000" w:sz="6" w:space="0"/>
                    <w:left w:val="single" w:color="auto" w:sz="4" w:space="0"/>
                    <w:bottom w:val="single" w:color="000000" w:sz="6" w:space="0"/>
                    <w:right w:val="single" w:color="000000" w:sz="6" w:space="0"/>
                  </w:tcBorders>
                  <w:vAlign w:val="center"/>
                </w:tcPr>
                <w:p>
                  <w:pPr>
                    <w:widowControl/>
                    <w:jc w:val="left"/>
                    <w:rPr>
                      <w:szCs w:val="21"/>
                    </w:rPr>
                  </w:pPr>
                </w:p>
              </w:tc>
              <w:tc>
                <w:tcPr>
                  <w:tcW w:w="42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Cs w:val="21"/>
                    </w:rPr>
                  </w:pPr>
                </w:p>
              </w:tc>
              <w:tc>
                <w:tcPr>
                  <w:tcW w:w="11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生物医学</w:t>
                  </w:r>
                </w:p>
              </w:tc>
              <w:tc>
                <w:tcPr>
                  <w:tcW w:w="389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szCs w:val="21"/>
                    </w:rPr>
                  </w:pPr>
                  <w:r>
                    <w:rPr>
                      <w:szCs w:val="21"/>
                    </w:rPr>
                    <w:t>1</w:t>
                  </w:r>
                  <w:r>
                    <w:rPr>
                      <w:rFonts w:ascii="宋体" w:hAnsi="宋体"/>
                      <w:szCs w:val="21"/>
                    </w:rPr>
                    <w:t>、劳动保护、三废治理不能达到国家标准的原料药生产装置；</w:t>
                  </w:r>
                </w:p>
                <w:p>
                  <w:pPr>
                    <w:widowControl/>
                    <w:rPr>
                      <w:szCs w:val="21"/>
                    </w:rPr>
                  </w:pPr>
                  <w:r>
                    <w:rPr>
                      <w:szCs w:val="21"/>
                    </w:rPr>
                    <w:t>2</w:t>
                  </w:r>
                  <w:r>
                    <w:rPr>
                      <w:rFonts w:ascii="宋体" w:hAnsi="宋体"/>
                      <w:szCs w:val="21"/>
                    </w:rPr>
                    <w:t>、手工胶囊填充工艺；</w:t>
                  </w:r>
                </w:p>
                <w:p>
                  <w:pPr>
                    <w:widowControl/>
                    <w:rPr>
                      <w:szCs w:val="21"/>
                    </w:rPr>
                  </w:pPr>
                  <w:r>
                    <w:rPr>
                      <w:szCs w:val="21"/>
                    </w:rPr>
                    <w:t>3</w:t>
                  </w:r>
                  <w:r>
                    <w:rPr>
                      <w:rFonts w:ascii="宋体" w:hAnsi="宋体"/>
                      <w:szCs w:val="21"/>
                    </w:rPr>
                    <w:t>、软木塞烫腊包装药品工艺；</w:t>
                  </w:r>
                </w:p>
                <w:p>
                  <w:pPr>
                    <w:widowControl/>
                    <w:rPr>
                      <w:szCs w:val="21"/>
                    </w:rPr>
                  </w:pPr>
                  <w:r>
                    <w:rPr>
                      <w:szCs w:val="21"/>
                    </w:rPr>
                    <w:t>4</w:t>
                  </w:r>
                  <w:r>
                    <w:rPr>
                      <w:rFonts w:ascii="宋体" w:hAnsi="宋体"/>
                      <w:szCs w:val="21"/>
                    </w:rPr>
                    <w:t>、不符合</w:t>
                  </w:r>
                  <w:r>
                    <w:rPr>
                      <w:szCs w:val="21"/>
                    </w:rPr>
                    <w:t>GMP</w:t>
                  </w:r>
                  <w:r>
                    <w:rPr>
                      <w:rFonts w:ascii="宋体" w:hAnsi="宋体"/>
                      <w:szCs w:val="21"/>
                    </w:rPr>
                    <w:t>要求的安瓿拉丝灌封机；</w:t>
                  </w:r>
                </w:p>
                <w:p>
                  <w:pPr>
                    <w:widowControl/>
                    <w:rPr>
                      <w:szCs w:val="21"/>
                    </w:rPr>
                  </w:pPr>
                  <w:r>
                    <w:rPr>
                      <w:szCs w:val="21"/>
                    </w:rPr>
                    <w:t>5</w:t>
                  </w:r>
                  <w:r>
                    <w:rPr>
                      <w:rFonts w:ascii="宋体" w:hAnsi="宋体"/>
                      <w:szCs w:val="21"/>
                    </w:rPr>
                    <w:t>、铁粉还原法对乙酰氨基酚（扑热息痛）、咖啡因装置；</w:t>
                  </w:r>
                </w:p>
                <w:p>
                  <w:pPr>
                    <w:widowControl/>
                    <w:rPr>
                      <w:szCs w:val="21"/>
                    </w:rPr>
                  </w:pPr>
                  <w:r>
                    <w:rPr>
                      <w:szCs w:val="21"/>
                    </w:rPr>
                    <w:t>6</w:t>
                  </w:r>
                  <w:r>
                    <w:rPr>
                      <w:rFonts w:ascii="宋体" w:hAnsi="宋体"/>
                      <w:szCs w:val="21"/>
                    </w:rPr>
                    <w:t>、使用氯氟烃（</w:t>
                  </w:r>
                  <w:r>
                    <w:rPr>
                      <w:szCs w:val="21"/>
                    </w:rPr>
                    <w:t>CFCs</w:t>
                  </w:r>
                  <w:r>
                    <w:rPr>
                      <w:rFonts w:ascii="宋体" w:hAnsi="宋体"/>
                      <w:szCs w:val="21"/>
                    </w:rPr>
                    <w:t>）作为气雾剂、推进剂、抛射剂或分散剂的医药用品生产工艺（根据国家履行国际公约总体计划要求进行淘汰）。</w:t>
                  </w:r>
                </w:p>
              </w:tc>
              <w:tc>
                <w:tcPr>
                  <w:tcW w:w="2093"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41" w:type="dxa"/>
                  <w:vMerge w:val="restar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3</w:t>
                  </w:r>
                </w:p>
              </w:tc>
              <w:tc>
                <w:tcPr>
                  <w:tcW w:w="42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产品</w:t>
                  </w:r>
                </w:p>
              </w:tc>
              <w:tc>
                <w:tcPr>
                  <w:tcW w:w="11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新材料</w:t>
                  </w:r>
                </w:p>
              </w:tc>
              <w:tc>
                <w:tcPr>
                  <w:tcW w:w="389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szCs w:val="21"/>
                    </w:rPr>
                  </w:pPr>
                  <w:r>
                    <w:rPr>
                      <w:szCs w:val="21"/>
                    </w:rPr>
                    <w:t>1</w:t>
                  </w:r>
                  <w:r>
                    <w:rPr>
                      <w:rFonts w:ascii="宋体" w:hAnsi="宋体"/>
                      <w:szCs w:val="21"/>
                    </w:rPr>
                    <w:t>、汞电池（氧化汞原电池及电池组、锌汞电池）；</w:t>
                  </w:r>
                </w:p>
                <w:p>
                  <w:pPr>
                    <w:widowControl/>
                    <w:rPr>
                      <w:szCs w:val="21"/>
                    </w:rPr>
                  </w:pPr>
                  <w:r>
                    <w:rPr>
                      <w:szCs w:val="21"/>
                    </w:rPr>
                    <w:t>2</w:t>
                  </w:r>
                  <w:r>
                    <w:rPr>
                      <w:rFonts w:ascii="宋体" w:hAnsi="宋体"/>
                      <w:szCs w:val="21"/>
                    </w:rPr>
                    <w:t>、半自动（卧式）工业用洗衣机。</w:t>
                  </w:r>
                </w:p>
              </w:tc>
              <w:tc>
                <w:tcPr>
                  <w:tcW w:w="2093"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jc w:val="center"/>
                    <w:rPr>
                      <w:rFonts w:hint="eastAsia" w:eastAsia="宋体"/>
                      <w:szCs w:val="21"/>
                      <w:lang w:eastAsia="zh-CN"/>
                    </w:rPr>
                  </w:pPr>
                  <w:r>
                    <w:rPr>
                      <w:rFonts w:hint="eastAsia"/>
                      <w:szCs w:val="21"/>
                      <w:lang w:eastAsia="zh-CN"/>
                    </w:rPr>
                    <w:t>本项目不涉及此几类工艺</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atLeast"/>
                <w:jc w:val="center"/>
              </w:trPr>
              <w:tc>
                <w:tcPr>
                  <w:tcW w:w="441" w:type="dxa"/>
                  <w:vMerge w:val="continue"/>
                  <w:tcBorders>
                    <w:top w:val="single" w:color="000000" w:sz="6" w:space="0"/>
                    <w:left w:val="single" w:color="auto" w:sz="4" w:space="0"/>
                    <w:bottom w:val="single" w:color="000000" w:sz="6" w:space="0"/>
                    <w:right w:val="single" w:color="000000" w:sz="6" w:space="0"/>
                  </w:tcBorders>
                  <w:vAlign w:val="center"/>
                </w:tcPr>
                <w:p>
                  <w:pPr>
                    <w:widowControl/>
                    <w:jc w:val="left"/>
                    <w:rPr>
                      <w:szCs w:val="21"/>
                    </w:rPr>
                  </w:pPr>
                </w:p>
              </w:tc>
              <w:tc>
                <w:tcPr>
                  <w:tcW w:w="42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Cs w:val="21"/>
                    </w:rPr>
                  </w:pPr>
                </w:p>
              </w:tc>
              <w:tc>
                <w:tcPr>
                  <w:tcW w:w="11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生物医学</w:t>
                  </w:r>
                </w:p>
              </w:tc>
              <w:tc>
                <w:tcPr>
                  <w:tcW w:w="389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szCs w:val="21"/>
                    </w:rPr>
                  </w:pPr>
                  <w:r>
                    <w:rPr>
                      <w:szCs w:val="21"/>
                    </w:rPr>
                    <w:t>1</w:t>
                  </w:r>
                  <w:r>
                    <w:rPr>
                      <w:rFonts w:ascii="宋体" w:hAnsi="宋体"/>
                      <w:szCs w:val="21"/>
                    </w:rPr>
                    <w:t>、铅锡软膏管、单层聚烯烃软膏管（肛肠、腔道给药除外）；</w:t>
                  </w:r>
                </w:p>
                <w:p>
                  <w:pPr>
                    <w:widowControl/>
                    <w:rPr>
                      <w:szCs w:val="21"/>
                    </w:rPr>
                  </w:pPr>
                  <w:r>
                    <w:rPr>
                      <w:szCs w:val="21"/>
                    </w:rPr>
                    <w:t>2</w:t>
                  </w:r>
                  <w:r>
                    <w:rPr>
                      <w:rFonts w:ascii="宋体" w:hAnsi="宋体"/>
                      <w:szCs w:val="21"/>
                    </w:rPr>
                    <w:t>、安瓿灌装注射用无菌粉末；</w:t>
                  </w:r>
                </w:p>
                <w:p>
                  <w:pPr>
                    <w:widowControl/>
                    <w:rPr>
                      <w:szCs w:val="21"/>
                    </w:rPr>
                  </w:pPr>
                  <w:r>
                    <w:rPr>
                      <w:szCs w:val="21"/>
                    </w:rPr>
                    <w:t>3</w:t>
                  </w:r>
                  <w:r>
                    <w:rPr>
                      <w:rFonts w:ascii="宋体" w:hAnsi="宋体"/>
                      <w:szCs w:val="21"/>
                    </w:rPr>
                    <w:t>、药用天然胶塞；</w:t>
                  </w:r>
                </w:p>
                <w:p>
                  <w:pPr>
                    <w:widowControl/>
                    <w:rPr>
                      <w:szCs w:val="21"/>
                    </w:rPr>
                  </w:pPr>
                  <w:r>
                    <w:rPr>
                      <w:szCs w:val="21"/>
                    </w:rPr>
                    <w:t>4</w:t>
                  </w:r>
                  <w:r>
                    <w:rPr>
                      <w:rFonts w:ascii="宋体" w:hAnsi="宋体"/>
                      <w:szCs w:val="21"/>
                    </w:rPr>
                    <w:t>、非易折安瓿；</w:t>
                  </w:r>
                </w:p>
                <w:p>
                  <w:pPr>
                    <w:widowControl/>
                    <w:rPr>
                      <w:szCs w:val="21"/>
                    </w:rPr>
                  </w:pPr>
                  <w:r>
                    <w:rPr>
                      <w:szCs w:val="21"/>
                    </w:rPr>
                    <w:t>5</w:t>
                  </w:r>
                  <w:r>
                    <w:rPr>
                      <w:rFonts w:ascii="宋体" w:hAnsi="宋体"/>
                      <w:szCs w:val="21"/>
                    </w:rPr>
                    <w:t>、输液用聚氯乙烯（</w:t>
                  </w:r>
                  <w:r>
                    <w:rPr>
                      <w:szCs w:val="21"/>
                    </w:rPr>
                    <w:t>PVC</w:t>
                  </w:r>
                  <w:r>
                    <w:rPr>
                      <w:rFonts w:ascii="宋体" w:hAnsi="宋体"/>
                      <w:szCs w:val="21"/>
                    </w:rPr>
                    <w:t>）软袋（不包括腹膜透析液、冲洗液用）。</w:t>
                  </w:r>
                </w:p>
              </w:tc>
              <w:tc>
                <w:tcPr>
                  <w:tcW w:w="2093"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atLeast"/>
                <w:jc w:val="center"/>
              </w:trPr>
              <w:tc>
                <w:tcPr>
                  <w:tcW w:w="441"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4</w:t>
                  </w:r>
                </w:p>
              </w:tc>
              <w:tc>
                <w:tcPr>
                  <w:tcW w:w="42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szCs w:val="21"/>
                    </w:rPr>
                  </w:pPr>
                  <w:r>
                    <w:rPr>
                      <w:szCs w:val="21"/>
                    </w:rPr>
                    <w:t>其他</w:t>
                  </w:r>
                </w:p>
              </w:tc>
              <w:tc>
                <w:tcPr>
                  <w:tcW w:w="5032"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szCs w:val="21"/>
                    </w:rPr>
                  </w:pPr>
                  <w:r>
                    <w:rPr>
                      <w:szCs w:val="21"/>
                    </w:rPr>
                    <w:t>钢铁、水泥、电解铝、平板玻璃、船舶等产能严重过剩行业</w:t>
                  </w:r>
                </w:p>
              </w:tc>
              <w:tc>
                <w:tcPr>
                  <w:tcW w:w="2093"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eastAsia="宋体"/>
                      <w:szCs w:val="21"/>
                      <w:lang w:eastAsia="zh-CN"/>
                    </w:rPr>
                  </w:pPr>
                  <w:r>
                    <w:rPr>
                      <w:rFonts w:hint="eastAsia"/>
                      <w:szCs w:val="21"/>
                      <w:lang w:eastAsia="zh-CN"/>
                    </w:rPr>
                    <w:t>本项目为食品制造业，不属于</w:t>
                  </w:r>
                  <w:r>
                    <w:rPr>
                      <w:szCs w:val="21"/>
                    </w:rPr>
                    <w:t>钢铁、水泥、电解铝、平板玻璃、船舶等产能严重过剩行业</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atLeast"/>
                <w:jc w:val="center"/>
              </w:trPr>
              <w:tc>
                <w:tcPr>
                  <w:tcW w:w="441" w:type="dxa"/>
                  <w:tcBorders>
                    <w:top w:val="single" w:color="000000" w:sz="6" w:space="0"/>
                    <w:left w:val="single" w:color="auto" w:sz="4" w:space="0"/>
                    <w:bottom w:val="single" w:color="000000" w:sz="6" w:space="0"/>
                    <w:right w:val="single" w:color="000000" w:sz="6" w:space="0"/>
                  </w:tcBorders>
                  <w:vAlign w:val="center"/>
                </w:tcPr>
                <w:p>
                  <w:pPr>
                    <w:widowControl/>
                    <w:jc w:val="center"/>
                    <w:rPr>
                      <w:szCs w:val="21"/>
                    </w:rPr>
                  </w:pPr>
                  <w:r>
                    <w:rPr>
                      <w:szCs w:val="21"/>
                    </w:rPr>
                    <w:t>5</w:t>
                  </w:r>
                </w:p>
              </w:tc>
              <w:tc>
                <w:tcPr>
                  <w:tcW w:w="42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Cs w:val="21"/>
                    </w:rPr>
                  </w:pPr>
                </w:p>
              </w:tc>
              <w:tc>
                <w:tcPr>
                  <w:tcW w:w="5032"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szCs w:val="21"/>
                    </w:rPr>
                  </w:pPr>
                  <w:r>
                    <w:rPr>
                      <w:szCs w:val="21"/>
                    </w:rPr>
                    <w:t>新建涂装、包装印刷、人造板等大气污染防治重点行业企业VOCs</w:t>
                  </w:r>
                  <w:r>
                    <w:rPr>
                      <w:rFonts w:ascii="宋体" w:hAnsi="宋体"/>
                      <w:szCs w:val="21"/>
                    </w:rPr>
                    <w:t>收集、处置效率低于</w:t>
                  </w:r>
                  <w:r>
                    <w:rPr>
                      <w:szCs w:val="21"/>
                    </w:rPr>
                    <w:t>90%</w:t>
                  </w:r>
                  <w:r>
                    <w:rPr>
                      <w:rFonts w:ascii="宋体" w:hAnsi="宋体"/>
                      <w:szCs w:val="21"/>
                    </w:rPr>
                    <w:t>，整车制造企业有机废气收集率低于</w:t>
                  </w:r>
                  <w:r>
                    <w:rPr>
                      <w:szCs w:val="21"/>
                    </w:rPr>
                    <w:t>90%</w:t>
                  </w:r>
                  <w:r>
                    <w:rPr>
                      <w:rFonts w:ascii="宋体" w:hAnsi="宋体"/>
                      <w:szCs w:val="21"/>
                    </w:rPr>
                    <w:t>，其他汽车制造企业低于</w:t>
                  </w:r>
                  <w:r>
                    <w:rPr>
                      <w:szCs w:val="21"/>
                    </w:rPr>
                    <w:t>80%</w:t>
                  </w:r>
                </w:p>
              </w:tc>
              <w:tc>
                <w:tcPr>
                  <w:tcW w:w="2093"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default" w:eastAsia="宋体"/>
                      <w:szCs w:val="21"/>
                      <w:lang w:val="en-US" w:eastAsia="zh-CN"/>
                    </w:rPr>
                  </w:pPr>
                  <w:r>
                    <w:rPr>
                      <w:rFonts w:hint="eastAsia"/>
                      <w:szCs w:val="21"/>
                      <w:lang w:eastAsia="zh-CN"/>
                    </w:rPr>
                    <w:t>本项目有机废气采取二级活性炭吸附，收集处理效率均能达到</w:t>
                  </w:r>
                  <w:r>
                    <w:rPr>
                      <w:rFonts w:hint="eastAsia"/>
                      <w:szCs w:val="21"/>
                      <w:lang w:val="en-US" w:eastAsia="zh-CN"/>
                    </w:rPr>
                    <w:t>90%，满足要求</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atLeast"/>
                <w:jc w:val="center"/>
              </w:trPr>
              <w:tc>
                <w:tcPr>
                  <w:tcW w:w="441" w:type="dxa"/>
                  <w:tcBorders>
                    <w:top w:val="single" w:color="000000" w:sz="6" w:space="0"/>
                    <w:left w:val="single" w:color="auto" w:sz="4" w:space="0"/>
                    <w:bottom w:val="single" w:color="000000" w:sz="6" w:space="0"/>
                    <w:right w:val="single" w:color="000000" w:sz="6" w:space="0"/>
                  </w:tcBorders>
                  <w:vAlign w:val="center"/>
                </w:tcPr>
                <w:p>
                  <w:pPr>
                    <w:widowControl/>
                    <w:jc w:val="center"/>
                    <w:rPr>
                      <w:szCs w:val="21"/>
                    </w:rPr>
                  </w:pPr>
                  <w:r>
                    <w:rPr>
                      <w:szCs w:val="21"/>
                    </w:rPr>
                    <w:t>6</w:t>
                  </w:r>
                </w:p>
              </w:tc>
              <w:tc>
                <w:tcPr>
                  <w:tcW w:w="42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Cs w:val="21"/>
                    </w:rPr>
                  </w:pPr>
                </w:p>
              </w:tc>
              <w:tc>
                <w:tcPr>
                  <w:tcW w:w="5032"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szCs w:val="21"/>
                    </w:rPr>
                  </w:pPr>
                  <w:r>
                    <w:rPr>
                      <w:szCs w:val="21"/>
                    </w:rPr>
                    <w:t>其他产业政策禁止或限制的项目</w:t>
                  </w:r>
                </w:p>
              </w:tc>
              <w:tc>
                <w:tcPr>
                  <w:tcW w:w="2093"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eastAsia="宋体"/>
                      <w:szCs w:val="21"/>
                      <w:lang w:eastAsia="zh-CN"/>
                    </w:rPr>
                  </w:pPr>
                  <w:r>
                    <w:rPr>
                      <w:rFonts w:hint="eastAsia"/>
                      <w:szCs w:val="21"/>
                      <w:lang w:eastAsia="zh-CN"/>
                    </w:rPr>
                    <w:t>本项目不属于</w:t>
                  </w:r>
                  <w:r>
                    <w:rPr>
                      <w:szCs w:val="21"/>
                    </w:rPr>
                    <w:t>其他产业政策禁止或限制的项目</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41" w:type="dxa"/>
                  <w:tcBorders>
                    <w:top w:val="single" w:color="000000" w:sz="6" w:space="0"/>
                    <w:left w:val="single" w:color="auto" w:sz="4" w:space="0"/>
                    <w:bottom w:val="single" w:color="auto" w:sz="4" w:space="0"/>
                    <w:right w:val="single" w:color="000000" w:sz="6" w:space="0"/>
                  </w:tcBorders>
                  <w:vAlign w:val="center"/>
                </w:tcPr>
                <w:p>
                  <w:pPr>
                    <w:widowControl/>
                    <w:jc w:val="center"/>
                    <w:rPr>
                      <w:szCs w:val="21"/>
                    </w:rPr>
                  </w:pPr>
                  <w:r>
                    <w:rPr>
                      <w:szCs w:val="21"/>
                    </w:rPr>
                    <w:t>7</w:t>
                  </w:r>
                </w:p>
              </w:tc>
              <w:tc>
                <w:tcPr>
                  <w:tcW w:w="42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szCs w:val="21"/>
                    </w:rPr>
                  </w:pPr>
                </w:p>
              </w:tc>
              <w:tc>
                <w:tcPr>
                  <w:tcW w:w="5032" w:type="dxa"/>
                  <w:gridSpan w:val="2"/>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rPr>
                      <w:szCs w:val="21"/>
                    </w:rPr>
                  </w:pPr>
                  <w:r>
                    <w:rPr>
                      <w:szCs w:val="21"/>
                    </w:rPr>
                    <w:t>国家及地方禁止和限制发展的化工、造纸、多晶硅、玻璃制造、铸造等高污染行业</w:t>
                  </w:r>
                </w:p>
              </w:tc>
              <w:tc>
                <w:tcPr>
                  <w:tcW w:w="2093" w:type="dxa"/>
                  <w:tcBorders>
                    <w:top w:val="single" w:color="000000" w:sz="6" w:space="0"/>
                    <w:left w:val="single" w:color="000000" w:sz="6" w:space="0"/>
                    <w:bottom w:val="single" w:color="auto" w:sz="4" w:space="0"/>
                    <w:right w:val="single" w:color="auto" w:sz="4" w:space="0"/>
                  </w:tcBorders>
                  <w:tcMar>
                    <w:top w:w="0" w:type="dxa"/>
                    <w:left w:w="108" w:type="dxa"/>
                    <w:bottom w:w="0" w:type="dxa"/>
                    <w:right w:w="108" w:type="dxa"/>
                  </w:tcMar>
                  <w:vAlign w:val="center"/>
                </w:tcPr>
                <w:p>
                  <w:pPr>
                    <w:jc w:val="center"/>
                    <w:rPr>
                      <w:szCs w:val="21"/>
                    </w:rPr>
                  </w:pPr>
                  <w:r>
                    <w:rPr>
                      <w:rFonts w:hint="eastAsia"/>
                      <w:szCs w:val="21"/>
                      <w:lang w:eastAsia="zh-CN"/>
                    </w:rPr>
                    <w:t>本项目不属于</w:t>
                  </w:r>
                  <w:r>
                    <w:rPr>
                      <w:szCs w:val="21"/>
                    </w:rPr>
                    <w:t>国家及地方禁止和限制发展的化工、造纸、多晶硅、玻璃制造、铸造等高污染行业</w:t>
                  </w:r>
                </w:p>
              </w:tc>
            </w:tr>
          </w:tbl>
          <w:p>
            <w:pPr>
              <w:spacing w:before="120" w:beforeLines="50" w:line="360" w:lineRule="auto"/>
              <w:ind w:firstLine="480" w:firstLineChars="200"/>
              <w:rPr>
                <w:spacing w:val="-2"/>
                <w:sz w:val="24"/>
              </w:rPr>
            </w:pPr>
            <w:r>
              <w:rPr>
                <w:rFonts w:ascii="宋体" w:hAnsi="宋体"/>
                <w:kern w:val="0"/>
                <w:sz w:val="24"/>
              </w:rPr>
              <w:t>本项目从事</w:t>
            </w:r>
            <w:r>
              <w:rPr>
                <w:rFonts w:hint="eastAsia" w:ascii="宋体" w:hAnsi="宋体"/>
                <w:kern w:val="0"/>
                <w:sz w:val="24"/>
              </w:rPr>
              <w:t>食品制造</w:t>
            </w:r>
            <w:r>
              <w:rPr>
                <w:rFonts w:ascii="宋体" w:hAnsi="宋体"/>
                <w:kern w:val="0"/>
                <w:sz w:val="24"/>
              </w:rPr>
              <w:t>，生产过程中所用原料及辅料均为采购所得，运输、储存、生产环节将严格遵守国家法律法规及行业标准要求实施，项目采用先进的生产工艺，不属于高污染、高能耗、高水耗项目，项目不在园区准入负面清单范围内。</w:t>
            </w:r>
          </w:p>
          <w:p>
            <w:pPr>
              <w:spacing w:line="360" w:lineRule="auto"/>
              <w:ind w:firstLine="480" w:firstLineChars="200"/>
              <w:rPr>
                <w:sz w:val="24"/>
              </w:rPr>
            </w:pPr>
            <w:r>
              <w:rPr>
                <w:rFonts w:ascii="宋体" w:hAnsi="宋体"/>
                <w:sz w:val="24"/>
              </w:rPr>
              <w:t>因此，本项目的建设符合</w:t>
            </w:r>
            <w:r>
              <w:rPr>
                <w:sz w:val="24"/>
              </w:rPr>
              <w:t>“</w:t>
            </w:r>
            <w:r>
              <w:rPr>
                <w:rFonts w:ascii="宋体" w:hAnsi="宋体"/>
                <w:sz w:val="24"/>
              </w:rPr>
              <w:t>三线一单</w:t>
            </w:r>
            <w:r>
              <w:rPr>
                <w:sz w:val="24"/>
              </w:rPr>
              <w:t>”</w:t>
            </w:r>
            <w:r>
              <w:rPr>
                <w:rFonts w:ascii="宋体" w:hAnsi="宋体"/>
                <w:sz w:val="24"/>
              </w:rPr>
              <w:t>相关要求。</w:t>
            </w:r>
          </w:p>
          <w:p>
            <w:pPr>
              <w:spacing w:line="360" w:lineRule="auto"/>
              <w:ind w:firstLine="200"/>
              <w:jc w:val="left"/>
              <w:rPr>
                <w:b/>
                <w:bCs/>
                <w:sz w:val="24"/>
              </w:rPr>
            </w:pPr>
            <w:r>
              <w:rPr>
                <w:rFonts w:hint="eastAsia"/>
                <w:b/>
                <w:sz w:val="24"/>
              </w:rPr>
              <w:t>3、</w:t>
            </w:r>
            <w:r>
              <w:rPr>
                <w:b/>
                <w:bCs/>
                <w:sz w:val="24"/>
              </w:rPr>
              <w:t>相关环境保护政策的符合性</w:t>
            </w:r>
          </w:p>
          <w:p>
            <w:pPr>
              <w:spacing w:line="360" w:lineRule="auto"/>
              <w:ind w:firstLine="474" w:firstLineChars="200"/>
              <w:jc w:val="left"/>
              <w:rPr>
                <w:b/>
                <w:sz w:val="24"/>
              </w:rPr>
            </w:pPr>
            <w:r>
              <w:rPr>
                <w:rFonts w:hint="eastAsia"/>
                <w:b/>
                <w:spacing w:val="-2"/>
                <w:sz w:val="24"/>
              </w:rPr>
              <w:t>（1）</w:t>
            </w:r>
            <w:r>
              <w:rPr>
                <w:b/>
                <w:sz w:val="24"/>
              </w:rPr>
              <w:t>与“全面打造水清岸绿产业优美丽长江（安徽）经济带滁州实施方案”相符性分析</w:t>
            </w:r>
          </w:p>
          <w:p>
            <w:pPr>
              <w:spacing w:line="360" w:lineRule="auto"/>
              <w:ind w:firstLine="480" w:firstLineChars="200"/>
              <w:rPr>
                <w:sz w:val="24"/>
              </w:rPr>
            </w:pPr>
            <w:r>
              <w:rPr>
                <w:rFonts w:hint="eastAsia" w:ascii="宋体" w:hAnsi="宋体" w:cs="宋体"/>
                <w:sz w:val="24"/>
              </w:rPr>
              <w:t>①</w:t>
            </w:r>
            <w:r>
              <w:rPr>
                <w:sz w:val="24"/>
              </w:rPr>
              <w:t>根据中共滁州市委滁州市人民政府于2018年9月7日关于印发《全面打造水清岸绿产业优美丽长江（安徽）经济带滁州实施方案》的通知中第三条“开展‘禁新建’行动”，严禁1公里范围内新建项目。</w:t>
            </w:r>
          </w:p>
          <w:p>
            <w:pPr>
              <w:spacing w:line="360" w:lineRule="auto"/>
              <w:ind w:firstLine="480" w:firstLineChars="200"/>
              <w:rPr>
                <w:sz w:val="24"/>
              </w:rPr>
            </w:pPr>
            <w:r>
              <w:rPr>
                <w:sz w:val="24"/>
              </w:rPr>
              <w:t>本项目距离滁河最近直线距离</w:t>
            </w:r>
            <w:r>
              <w:rPr>
                <w:rFonts w:hint="eastAsia"/>
                <w:sz w:val="24"/>
              </w:rPr>
              <w:t>远远超过19公里</w:t>
            </w:r>
            <w:r>
              <w:rPr>
                <w:sz w:val="24"/>
              </w:rPr>
              <w:t>，</w:t>
            </w:r>
            <w:r>
              <w:rPr>
                <w:rFonts w:hint="eastAsia"/>
                <w:sz w:val="24"/>
              </w:rPr>
              <w:t>因此，</w:t>
            </w:r>
            <w:r>
              <w:rPr>
                <w:sz w:val="24"/>
              </w:rPr>
              <w:t>符合要求。</w:t>
            </w:r>
          </w:p>
          <w:p>
            <w:pPr>
              <w:spacing w:line="360" w:lineRule="auto"/>
              <w:ind w:firstLine="480" w:firstLineChars="200"/>
              <w:rPr>
                <w:sz w:val="24"/>
              </w:rPr>
            </w:pPr>
            <w:r>
              <w:rPr>
                <w:rFonts w:hint="eastAsia" w:ascii="宋体" w:hAnsi="宋体" w:cs="宋体"/>
                <w:sz w:val="24"/>
              </w:rPr>
              <w:t>②</w:t>
            </w:r>
            <w:r>
              <w:rPr>
                <w:sz w:val="24"/>
              </w:rPr>
              <w:t>根据中共滁州市委滁州市人民政府于2018年9月7日关于印发《全面打造水清岸绿产业优美丽长江（安徽）经济带滁州实施方案》的通知中第六条“开展“纳统管”行动”，集中区企业污水处理全覆盖。企业工业废水在排入集中区污水处理厂前，必须各自进行处理，且达到集中区污水处理厂统一纳管标准。</w:t>
            </w:r>
          </w:p>
          <w:p>
            <w:pPr>
              <w:spacing w:line="360" w:lineRule="auto"/>
              <w:ind w:firstLine="480" w:firstLineChars="200"/>
              <w:rPr>
                <w:sz w:val="24"/>
              </w:rPr>
            </w:pPr>
            <w:r>
              <w:rPr>
                <w:sz w:val="24"/>
              </w:rPr>
              <w:t>本项目位于</w:t>
            </w:r>
            <w:r>
              <w:rPr>
                <w:rFonts w:hint="eastAsia" w:hAnsi="宋体"/>
                <w:sz w:val="24"/>
              </w:rPr>
              <w:t>滁州市苏滁产业园常州南路611号</w:t>
            </w:r>
            <w:r>
              <w:rPr>
                <w:sz w:val="24"/>
              </w:rPr>
              <w:t>，目前在</w:t>
            </w:r>
            <w:r>
              <w:rPr>
                <w:rFonts w:hint="eastAsia"/>
                <w:sz w:val="24"/>
              </w:rPr>
              <w:t>滁州市第二</w:t>
            </w:r>
            <w:r>
              <w:rPr>
                <w:sz w:val="24"/>
              </w:rPr>
              <w:t>污水处理厂收水范围内，符合要求。</w:t>
            </w:r>
            <w:r>
              <w:rPr>
                <w:rFonts w:hint="eastAsia"/>
                <w:sz w:val="24"/>
              </w:rPr>
              <w:t>本项目废水主要为生活污水和生产废水（原料清洗、设备清洗、地面冲洗废水、煮料废水），生活污水经化粪池处理后与生产废水一起经污水处理站（工艺：</w:t>
            </w:r>
            <w:r>
              <w:rPr>
                <w:rFonts w:hint="eastAsia"/>
                <w:kern w:val="0"/>
                <w:sz w:val="24"/>
              </w:rPr>
              <w:t>调节+气浮+水解酸化+接触氧化+二沉池</w:t>
            </w:r>
            <w:r>
              <w:rPr>
                <w:rFonts w:hint="eastAsia"/>
                <w:sz w:val="24"/>
              </w:rPr>
              <w:t>）处理后</w:t>
            </w:r>
            <w:r>
              <w:rPr>
                <w:rFonts w:hint="eastAsia"/>
                <w:color w:val="000000"/>
                <w:sz w:val="24"/>
              </w:rPr>
              <w:t>满足</w:t>
            </w:r>
            <w:r>
              <w:rPr>
                <w:sz w:val="24"/>
              </w:rPr>
              <w:t>《污水综合排放标准》（GB8978-1996）中表4中三级标准要求，其中氨氮</w:t>
            </w:r>
            <w:r>
              <w:rPr>
                <w:rFonts w:hint="eastAsia"/>
                <w:sz w:val="24"/>
              </w:rPr>
              <w:t>满足</w:t>
            </w:r>
            <w:r>
              <w:rPr>
                <w:sz w:val="24"/>
              </w:rPr>
              <w:t>《污水排入城镇下水道水质标准中（GBT31962-2015）表1中B等级标准</w:t>
            </w:r>
            <w:r>
              <w:rPr>
                <w:rFonts w:hint="eastAsia"/>
                <w:sz w:val="24"/>
              </w:rPr>
              <w:t>。符合污水处理厂纳管标准。</w:t>
            </w:r>
          </w:p>
          <w:p>
            <w:pPr>
              <w:spacing w:line="360" w:lineRule="auto"/>
              <w:ind w:firstLine="480" w:firstLineChars="200"/>
              <w:rPr>
                <w:sz w:val="24"/>
              </w:rPr>
            </w:pPr>
            <w:r>
              <w:rPr>
                <w:sz w:val="24"/>
              </w:rPr>
              <w:t>综上所述，本项目满足“全面打造水清岸绿产业优美丽长江（安徽）经济带滁州实施方案”相关要求。</w:t>
            </w:r>
          </w:p>
          <w:p>
            <w:pPr>
              <w:spacing w:line="360" w:lineRule="auto"/>
              <w:ind w:firstLine="474" w:firstLineChars="200"/>
              <w:jc w:val="left"/>
              <w:rPr>
                <w:b/>
                <w:szCs w:val="21"/>
              </w:rPr>
            </w:pPr>
            <w:r>
              <w:rPr>
                <w:rFonts w:hint="eastAsia"/>
                <w:b/>
                <w:bCs/>
                <w:spacing w:val="-2"/>
                <w:sz w:val="24"/>
              </w:rPr>
              <w:t>（2）</w:t>
            </w:r>
            <w:r>
              <w:rPr>
                <w:b/>
                <w:sz w:val="24"/>
              </w:rPr>
              <w:t>与皖大气办[2014]23号《安徽省挥发性有机物污染整治工作方案》相符性</w:t>
            </w:r>
          </w:p>
          <w:p>
            <w:pPr>
              <w:spacing w:line="360" w:lineRule="auto"/>
              <w:ind w:firstLine="480" w:firstLineChars="200"/>
              <w:rPr>
                <w:sz w:val="24"/>
              </w:rPr>
            </w:pPr>
            <w:r>
              <w:rPr>
                <w:sz w:val="24"/>
              </w:rPr>
              <w:t>《安徽省挥发性有机物污染整治工作方案》提出：在城市建成区、水源保护地、风景名胜区、森林公园、重要湿地和其他重要生态功能区实行强制性保护，禁止新建、改建、扩建VOCs高污染企业。在水源涵养区、水土保持区等生态功能区实施限制开发。</w:t>
            </w:r>
          </w:p>
          <w:p>
            <w:pPr>
              <w:spacing w:line="360" w:lineRule="auto"/>
              <w:ind w:firstLine="480" w:firstLineChars="200"/>
              <w:rPr>
                <w:sz w:val="24"/>
              </w:rPr>
            </w:pPr>
            <w:r>
              <w:rPr>
                <w:sz w:val="24"/>
              </w:rPr>
              <w:t>本项目</w:t>
            </w:r>
            <w:r>
              <w:rPr>
                <w:rFonts w:hint="eastAsia"/>
                <w:sz w:val="24"/>
              </w:rPr>
              <w:t>位于中新苏滁高新技术产业开发区（原苏滁现代产业园）</w:t>
            </w:r>
            <w:r>
              <w:rPr>
                <w:rFonts w:hint="eastAsia" w:hAnsi="宋体"/>
                <w:sz w:val="24"/>
              </w:rPr>
              <w:t>常州南路611号</w:t>
            </w:r>
            <w:r>
              <w:rPr>
                <w:sz w:val="24"/>
              </w:rPr>
              <w:t>，</w:t>
            </w:r>
            <w:r>
              <w:rPr>
                <w:rFonts w:hint="eastAsia"/>
                <w:sz w:val="24"/>
              </w:rPr>
              <w:t>不属于</w:t>
            </w:r>
            <w:r>
              <w:rPr>
                <w:sz w:val="24"/>
              </w:rPr>
              <w:t>城市建成区、水源保护地、风景名胜区、森林公园、重要湿地和其他重要生态功能区</w:t>
            </w:r>
            <w:r>
              <w:rPr>
                <w:rFonts w:hint="eastAsia"/>
                <w:sz w:val="24"/>
              </w:rPr>
              <w:t>，</w:t>
            </w:r>
            <w:r>
              <w:rPr>
                <w:sz w:val="24"/>
              </w:rPr>
              <w:t>符合要求。</w:t>
            </w:r>
          </w:p>
          <w:p>
            <w:pPr>
              <w:spacing w:line="360" w:lineRule="auto"/>
              <w:ind w:firstLine="480" w:firstLineChars="200"/>
              <w:rPr>
                <w:sz w:val="24"/>
              </w:rPr>
            </w:pPr>
            <w:r>
              <w:rPr>
                <w:sz w:val="24"/>
              </w:rPr>
              <w:t>新建、改建、扩建涉及VOCs排放的建设项目在开展环境影响评价时，必须将VOCs排放控制纳入环境影响评价的重要内容，并落实最严格的废气污染防治措施。</w:t>
            </w:r>
          </w:p>
          <w:p>
            <w:pPr>
              <w:spacing w:line="360" w:lineRule="auto"/>
              <w:ind w:firstLine="480" w:firstLineChars="200"/>
              <w:rPr>
                <w:sz w:val="24"/>
                <w:u w:val="single"/>
              </w:rPr>
            </w:pPr>
            <w:r>
              <w:rPr>
                <w:sz w:val="24"/>
              </w:rPr>
              <w:t>本项目开展环境影响评价，并将VOCs纳入环境影响评价内，符合要求。</w:t>
            </w:r>
          </w:p>
          <w:p>
            <w:pPr>
              <w:spacing w:line="360" w:lineRule="auto"/>
              <w:ind w:firstLine="480" w:firstLineChars="200"/>
              <w:rPr>
                <w:sz w:val="24"/>
              </w:rPr>
            </w:pPr>
            <w:r>
              <w:rPr>
                <w:sz w:val="24"/>
              </w:rPr>
              <w:t>涉及VOCs排放的新、改、扩建项目，应配备废气回收、净化装置，原则上总净化效率不得低于90%。建立VOCs排放总量控制制度。</w:t>
            </w:r>
          </w:p>
          <w:p>
            <w:pPr>
              <w:spacing w:line="360" w:lineRule="auto"/>
              <w:ind w:firstLine="480" w:firstLineChars="200"/>
              <w:rPr>
                <w:sz w:val="24"/>
                <w:highlight w:val="none"/>
              </w:rPr>
            </w:pPr>
            <w:r>
              <w:rPr>
                <w:sz w:val="24"/>
                <w:highlight w:val="none"/>
              </w:rPr>
              <w:t>本项目注塑</w:t>
            </w:r>
            <w:r>
              <w:rPr>
                <w:rFonts w:hint="eastAsia"/>
                <w:sz w:val="24"/>
                <w:highlight w:val="none"/>
              </w:rPr>
              <w:t>吹塑等工序</w:t>
            </w:r>
            <w:r>
              <w:rPr>
                <w:sz w:val="24"/>
                <w:highlight w:val="none"/>
              </w:rPr>
              <w:t>产生的有机废气采用“集气罩收集+二级活性炭吸附”进行处理，废气净化效率能达到90%，严格执行总量控制指标。</w:t>
            </w:r>
          </w:p>
          <w:p>
            <w:pPr>
              <w:spacing w:line="360" w:lineRule="auto"/>
              <w:ind w:firstLine="480" w:firstLineChars="200"/>
              <w:rPr>
                <w:sz w:val="24"/>
              </w:rPr>
            </w:pPr>
            <w:r>
              <w:rPr>
                <w:sz w:val="24"/>
              </w:rPr>
              <w:t>加强企业内部管理，明确VOCs处理装置的管理和监控方案，提升现场管理水平，确保VOCs处理装置的长期有效运行。加强基础工作，建设完善的“一厂一档”，与VOCs排放相关的原辅料、产品生产输出、废气处理、污染物排放、在线监控等信息应进行跟踪记录，以满足企业VOCs实际以及潜在的排放量查证需要，确保企业VOCs处理装置运行效果。</w:t>
            </w:r>
          </w:p>
          <w:p>
            <w:pPr>
              <w:spacing w:line="360" w:lineRule="auto"/>
              <w:ind w:firstLine="480" w:firstLineChars="200"/>
              <w:rPr>
                <w:sz w:val="24"/>
              </w:rPr>
            </w:pPr>
            <w:r>
              <w:rPr>
                <w:sz w:val="24"/>
              </w:rPr>
              <w:t>综上所述，本项目VOCs控制符合《安徽省挥发性有机物污染整治工作方案》皖大气办[2014]23号文件的要求。</w:t>
            </w:r>
          </w:p>
          <w:p>
            <w:pPr>
              <w:spacing w:line="360" w:lineRule="auto"/>
              <w:ind w:firstLine="474" w:firstLineChars="200"/>
              <w:rPr>
                <w:b/>
                <w:bCs/>
                <w:spacing w:val="-2"/>
                <w:sz w:val="24"/>
              </w:rPr>
            </w:pPr>
            <w:r>
              <w:rPr>
                <w:rFonts w:hint="eastAsia"/>
                <w:b/>
                <w:bCs/>
                <w:spacing w:val="-2"/>
                <w:sz w:val="24"/>
              </w:rPr>
              <w:t>（3）</w:t>
            </w:r>
            <w:r>
              <w:rPr>
                <w:b/>
                <w:sz w:val="24"/>
              </w:rPr>
              <w:t>与“打赢蓝天保卫战三年行动计划”相符性分析</w:t>
            </w:r>
          </w:p>
          <w:p>
            <w:pPr>
              <w:spacing w:line="360" w:lineRule="auto"/>
              <w:ind w:firstLine="472" w:firstLineChars="200"/>
              <w:rPr>
                <w:spacing w:val="-2"/>
                <w:sz w:val="24"/>
              </w:rPr>
            </w:pPr>
            <w:r>
              <w:rPr>
                <w:spacing w:val="-2"/>
                <w:sz w:val="24"/>
              </w:rPr>
              <w:t>根据《打赢蓝天保卫战三年行动计划》</w:t>
            </w:r>
            <w:r>
              <w:rPr>
                <w:rFonts w:hint="eastAsia"/>
                <w:spacing w:val="-2"/>
                <w:sz w:val="24"/>
              </w:rPr>
              <w:t>（国发【2018】22号）</w:t>
            </w:r>
            <w:r>
              <w:rPr>
                <w:spacing w:val="-2"/>
                <w:sz w:val="24"/>
              </w:rPr>
              <w:t>中</w:t>
            </w:r>
            <w:r>
              <w:rPr>
                <w:sz w:val="24"/>
              </w:rPr>
              <w:t>第二十五条 “实施VOCs专项整治方案”规定，</w:t>
            </w:r>
            <w:r>
              <w:rPr>
                <w:kern w:val="0"/>
                <w:sz w:val="24"/>
              </w:rPr>
              <w:t>重点区域禁止建设生产和使用高VOCs含量的溶剂型涂料、油墨、胶粘剂等项目，加大餐饮油烟治理力度。</w:t>
            </w:r>
          </w:p>
          <w:p>
            <w:pPr>
              <w:spacing w:line="360" w:lineRule="auto"/>
              <w:ind w:firstLine="480" w:firstLineChars="200"/>
              <w:rPr>
                <w:sz w:val="24"/>
              </w:rPr>
            </w:pPr>
            <w:r>
              <w:rPr>
                <w:sz w:val="24"/>
              </w:rPr>
              <w:t>本项目有机废气采用“</w:t>
            </w:r>
            <w:r>
              <w:rPr>
                <w:rFonts w:hint="eastAsia"/>
                <w:sz w:val="24"/>
              </w:rPr>
              <w:t>集气罩收集+二级活性炭吸附装置</w:t>
            </w:r>
            <w:r>
              <w:rPr>
                <w:sz w:val="24"/>
              </w:rPr>
              <w:t>”进行处理，废气净化效率能达到9</w:t>
            </w:r>
            <w:r>
              <w:rPr>
                <w:rFonts w:hint="eastAsia"/>
                <w:sz w:val="24"/>
              </w:rPr>
              <w:t>0</w:t>
            </w:r>
            <w:r>
              <w:rPr>
                <w:sz w:val="24"/>
              </w:rPr>
              <w:t>%，</w:t>
            </w:r>
            <w:r>
              <w:rPr>
                <w:rFonts w:hint="eastAsia"/>
                <w:sz w:val="24"/>
              </w:rPr>
              <w:t>加强</w:t>
            </w:r>
            <w:r>
              <w:rPr>
                <w:sz w:val="24"/>
              </w:rPr>
              <w:t>VOCs无组织排放</w:t>
            </w:r>
            <w:r>
              <w:rPr>
                <w:rFonts w:hint="eastAsia"/>
                <w:sz w:val="24"/>
              </w:rPr>
              <w:t>管控</w:t>
            </w:r>
            <w:r>
              <w:rPr>
                <w:sz w:val="24"/>
              </w:rPr>
              <w:t>，并严格执行总量控制指标。</w:t>
            </w:r>
          </w:p>
          <w:p>
            <w:pPr>
              <w:spacing w:line="360" w:lineRule="auto"/>
              <w:ind w:firstLine="480" w:firstLineChars="200"/>
              <w:rPr>
                <w:b/>
                <w:bCs/>
                <w:spacing w:val="-2"/>
                <w:sz w:val="24"/>
              </w:rPr>
            </w:pPr>
            <w:r>
              <w:rPr>
                <w:sz w:val="24"/>
              </w:rPr>
              <w:t>综上所述，本项目满足“蓝天保卫战”相关要求。</w:t>
            </w:r>
          </w:p>
          <w:p>
            <w:pPr>
              <w:spacing w:line="360" w:lineRule="auto"/>
              <w:ind w:firstLine="474" w:firstLineChars="200"/>
              <w:rPr>
                <w:b/>
                <w:bCs/>
                <w:spacing w:val="-2"/>
                <w:sz w:val="24"/>
              </w:rPr>
            </w:pPr>
            <w:r>
              <w:rPr>
                <w:rFonts w:hint="eastAsia"/>
                <w:b/>
                <w:bCs/>
                <w:spacing w:val="-2"/>
                <w:sz w:val="24"/>
              </w:rPr>
              <w:t>（4）</w:t>
            </w:r>
            <w:r>
              <w:rPr>
                <w:b/>
                <w:bCs/>
                <w:spacing w:val="-2"/>
                <w:sz w:val="24"/>
              </w:rPr>
              <w:t>与《</w:t>
            </w:r>
            <w:r>
              <w:rPr>
                <w:rFonts w:hint="eastAsia"/>
                <w:b/>
                <w:bCs/>
                <w:spacing w:val="-2"/>
                <w:sz w:val="24"/>
              </w:rPr>
              <w:t>2019年</w:t>
            </w:r>
            <w:r>
              <w:rPr>
                <w:b/>
                <w:bCs/>
                <w:spacing w:val="-2"/>
                <w:sz w:val="24"/>
              </w:rPr>
              <w:t>安徽省</w:t>
            </w:r>
            <w:r>
              <w:rPr>
                <w:rFonts w:hint="eastAsia"/>
                <w:b/>
                <w:bCs/>
                <w:spacing w:val="-2"/>
                <w:sz w:val="24"/>
              </w:rPr>
              <w:t>大气污染防治重点工作任务</w:t>
            </w:r>
            <w:r>
              <w:rPr>
                <w:b/>
                <w:bCs/>
                <w:spacing w:val="-2"/>
                <w:sz w:val="24"/>
              </w:rPr>
              <w:t>》相符性</w:t>
            </w:r>
            <w:r>
              <w:rPr>
                <w:rFonts w:hint="eastAsia"/>
                <w:b/>
                <w:bCs/>
                <w:spacing w:val="-2"/>
                <w:sz w:val="24"/>
              </w:rPr>
              <w:t>分析</w:t>
            </w:r>
          </w:p>
          <w:p>
            <w:pPr>
              <w:spacing w:line="360" w:lineRule="auto"/>
              <w:ind w:firstLine="474" w:firstLineChars="200"/>
              <w:jc w:val="center"/>
              <w:rPr>
                <w:b/>
                <w:bCs/>
                <w:spacing w:val="-2"/>
                <w:sz w:val="24"/>
              </w:rPr>
            </w:pPr>
            <w:r>
              <w:rPr>
                <w:rFonts w:hint="eastAsia"/>
                <w:b/>
                <w:bCs/>
                <w:spacing w:val="-2"/>
                <w:sz w:val="24"/>
              </w:rPr>
              <w:t xml:space="preserve">表1-4 </w:t>
            </w:r>
            <w:r>
              <w:rPr>
                <w:rFonts w:hint="eastAsia"/>
                <w:spacing w:val="-2"/>
                <w:sz w:val="24"/>
              </w:rPr>
              <w:t xml:space="preserve"> </w:t>
            </w:r>
            <w:r>
              <w:rPr>
                <w:b/>
                <w:bCs/>
                <w:spacing w:val="-2"/>
                <w:sz w:val="24"/>
              </w:rPr>
              <w:t>与《</w:t>
            </w:r>
            <w:r>
              <w:rPr>
                <w:rFonts w:hint="eastAsia"/>
                <w:b/>
                <w:bCs/>
                <w:spacing w:val="-2"/>
                <w:sz w:val="24"/>
              </w:rPr>
              <w:t>2019年</w:t>
            </w:r>
            <w:r>
              <w:rPr>
                <w:b/>
                <w:bCs/>
                <w:spacing w:val="-2"/>
                <w:sz w:val="24"/>
              </w:rPr>
              <w:t>安徽省</w:t>
            </w:r>
            <w:r>
              <w:rPr>
                <w:rFonts w:hint="eastAsia"/>
                <w:b/>
                <w:bCs/>
                <w:spacing w:val="-2"/>
                <w:sz w:val="24"/>
              </w:rPr>
              <w:t>大气污染防治重点工作任务</w:t>
            </w:r>
            <w:r>
              <w:rPr>
                <w:b/>
                <w:bCs/>
                <w:spacing w:val="-2"/>
                <w:sz w:val="24"/>
              </w:rPr>
              <w:t>》相符性</w:t>
            </w:r>
            <w:r>
              <w:rPr>
                <w:rFonts w:hint="eastAsia"/>
                <w:b/>
                <w:bCs/>
                <w:spacing w:val="-2"/>
                <w:sz w:val="24"/>
              </w:rPr>
              <w:t>分析</w:t>
            </w:r>
          </w:p>
          <w:tbl>
            <w:tblPr>
              <w:tblStyle w:val="22"/>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4456"/>
              <w:gridCol w:w="2191"/>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Align w:val="center"/>
                </w:tcPr>
                <w:p>
                  <w:pPr>
                    <w:jc w:val="center"/>
                    <w:rPr>
                      <w:b/>
                      <w:bCs/>
                      <w:szCs w:val="21"/>
                    </w:rPr>
                  </w:pPr>
                  <w:r>
                    <w:rPr>
                      <w:b/>
                      <w:bCs/>
                      <w:szCs w:val="21"/>
                    </w:rPr>
                    <w:t>序号</w:t>
                  </w:r>
                </w:p>
              </w:tc>
              <w:tc>
                <w:tcPr>
                  <w:tcW w:w="4799" w:type="dxa"/>
                  <w:vAlign w:val="center"/>
                </w:tcPr>
                <w:p>
                  <w:pPr>
                    <w:jc w:val="center"/>
                    <w:rPr>
                      <w:b/>
                      <w:bCs/>
                      <w:szCs w:val="21"/>
                    </w:rPr>
                  </w:pPr>
                  <w:r>
                    <w:rPr>
                      <w:b/>
                      <w:bCs/>
                      <w:szCs w:val="21"/>
                    </w:rPr>
                    <w:t>2019年安徽省大气污染防治重点工作任务相关要求</w:t>
                  </w:r>
                </w:p>
              </w:tc>
              <w:tc>
                <w:tcPr>
                  <w:tcW w:w="2350" w:type="dxa"/>
                  <w:vAlign w:val="center"/>
                </w:tcPr>
                <w:p>
                  <w:pPr>
                    <w:jc w:val="center"/>
                    <w:rPr>
                      <w:b/>
                      <w:bCs/>
                      <w:szCs w:val="21"/>
                    </w:rPr>
                  </w:pPr>
                  <w:r>
                    <w:rPr>
                      <w:rFonts w:hint="eastAsia"/>
                      <w:b/>
                      <w:bCs/>
                      <w:szCs w:val="21"/>
                    </w:rPr>
                    <w:t>本项目情况</w:t>
                  </w:r>
                </w:p>
              </w:tc>
              <w:tc>
                <w:tcPr>
                  <w:tcW w:w="654" w:type="dxa"/>
                  <w:vAlign w:val="center"/>
                </w:tcPr>
                <w:p>
                  <w:pPr>
                    <w:jc w:val="center"/>
                    <w:rPr>
                      <w:b/>
                      <w:bCs/>
                      <w:szCs w:val="21"/>
                    </w:rPr>
                  </w:pPr>
                  <w:r>
                    <w:rPr>
                      <w:rFonts w:hint="eastAsia"/>
                      <w:b/>
                      <w:bCs/>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Align w:val="center"/>
                </w:tcPr>
                <w:p>
                  <w:pPr>
                    <w:jc w:val="center"/>
                    <w:rPr>
                      <w:szCs w:val="21"/>
                    </w:rPr>
                  </w:pPr>
                  <w:r>
                    <w:rPr>
                      <w:rFonts w:hint="eastAsia"/>
                      <w:szCs w:val="21"/>
                    </w:rPr>
                    <w:t>1</w:t>
                  </w:r>
                </w:p>
              </w:tc>
              <w:tc>
                <w:tcPr>
                  <w:tcW w:w="4799" w:type="dxa"/>
                  <w:vAlign w:val="center"/>
                </w:tcPr>
                <w:p>
                  <w:pPr>
                    <w:jc w:val="center"/>
                    <w:rPr>
                      <w:szCs w:val="21"/>
                    </w:rPr>
                  </w:pPr>
                  <w:r>
                    <w:rPr>
                      <w:szCs w:val="21"/>
                    </w:rPr>
                    <w:t>二、主要任务（一）优化调整产业结构 1、优化产业布局。2019年底钱完成“三线一单”编制工作，明确禁止和限制发展的行业、生产工艺和产业目录，严格执行国家高耗能、高污染和资源型行业准入条件。</w:t>
                  </w:r>
                </w:p>
              </w:tc>
              <w:tc>
                <w:tcPr>
                  <w:tcW w:w="2350" w:type="dxa"/>
                  <w:vAlign w:val="center"/>
                </w:tcPr>
                <w:p>
                  <w:pPr>
                    <w:rPr>
                      <w:szCs w:val="21"/>
                    </w:rPr>
                  </w:pPr>
                  <w:r>
                    <w:rPr>
                      <w:szCs w:val="21"/>
                    </w:rPr>
                    <w:t>本项目</w:t>
                  </w:r>
                  <w:r>
                    <w:rPr>
                      <w:rFonts w:hint="eastAsia"/>
                      <w:szCs w:val="21"/>
                    </w:rPr>
                    <w:t>属于主导产业</w:t>
                  </w:r>
                  <w:r>
                    <w:rPr>
                      <w:szCs w:val="21"/>
                    </w:rPr>
                    <w:t>；不属于国家高耗能、高污染和资源型行业</w:t>
                  </w:r>
                </w:p>
              </w:tc>
              <w:tc>
                <w:tcPr>
                  <w:tcW w:w="654" w:type="dxa"/>
                  <w:vAlign w:val="center"/>
                </w:tcPr>
                <w:p>
                  <w:pPr>
                    <w:jc w:val="center"/>
                    <w:rPr>
                      <w:szCs w:val="21"/>
                    </w:rPr>
                  </w:pPr>
                  <w:r>
                    <w:rPr>
                      <w:rFonts w:hint="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Align w:val="center"/>
                </w:tcPr>
                <w:p>
                  <w:pPr>
                    <w:jc w:val="center"/>
                    <w:rPr>
                      <w:szCs w:val="21"/>
                    </w:rPr>
                  </w:pPr>
                  <w:r>
                    <w:rPr>
                      <w:rFonts w:hint="eastAsia"/>
                      <w:szCs w:val="21"/>
                    </w:rPr>
                    <w:t>2</w:t>
                  </w:r>
                </w:p>
              </w:tc>
              <w:tc>
                <w:tcPr>
                  <w:tcW w:w="4799" w:type="dxa"/>
                  <w:vAlign w:val="center"/>
                </w:tcPr>
                <w:p>
                  <w:pPr>
                    <w:jc w:val="center"/>
                    <w:rPr>
                      <w:szCs w:val="21"/>
                    </w:rPr>
                  </w:pPr>
                  <w:r>
                    <w:rPr>
                      <w:szCs w:val="21"/>
                    </w:rPr>
                    <w:t>3、加快落后产能和过剩产能压减。严禁新增钢铁</w:t>
                  </w:r>
                  <w:r>
                    <w:rPr>
                      <w:rFonts w:hint="eastAsia"/>
                      <w:szCs w:val="21"/>
                    </w:rPr>
                    <w:t>、</w:t>
                  </w:r>
                  <w:r>
                    <w:rPr>
                      <w:szCs w:val="21"/>
                    </w:rPr>
                    <w:t>焦化、电解铝、铸造、水泥和平板玻璃等产能，</w:t>
                  </w:r>
                </w:p>
                <w:p>
                  <w:pPr>
                    <w:jc w:val="center"/>
                    <w:rPr>
                      <w:szCs w:val="21"/>
                    </w:rPr>
                  </w:pPr>
                  <w:r>
                    <w:rPr>
                      <w:szCs w:val="21"/>
                    </w:rPr>
                    <w:t>依法依规化解过剩产能。</w:t>
                  </w:r>
                </w:p>
              </w:tc>
              <w:tc>
                <w:tcPr>
                  <w:tcW w:w="2350" w:type="dxa"/>
                  <w:vAlign w:val="center"/>
                </w:tcPr>
                <w:p>
                  <w:pPr>
                    <w:jc w:val="center"/>
                    <w:rPr>
                      <w:szCs w:val="21"/>
                    </w:rPr>
                  </w:pPr>
                  <w:r>
                    <w:rPr>
                      <w:rFonts w:hint="eastAsia"/>
                      <w:szCs w:val="21"/>
                    </w:rPr>
                    <w:t>本项目为</w:t>
                  </w:r>
                  <w:r>
                    <w:rPr>
                      <w:rFonts w:hint="eastAsia"/>
                      <w:bCs/>
                      <w:szCs w:val="21"/>
                    </w:rPr>
                    <w:t>C1499 其他未列明食品制造；C2926塑料包装箱及容器制造</w:t>
                  </w:r>
                  <w:r>
                    <w:rPr>
                      <w:rFonts w:hint="eastAsia"/>
                      <w:szCs w:val="21"/>
                    </w:rPr>
                    <w:t>，不属于落后产能和过剩产能范畴</w:t>
                  </w:r>
                </w:p>
              </w:tc>
              <w:tc>
                <w:tcPr>
                  <w:tcW w:w="654" w:type="dxa"/>
                  <w:vAlign w:val="center"/>
                </w:tcPr>
                <w:p>
                  <w:pPr>
                    <w:jc w:val="center"/>
                    <w:rPr>
                      <w:szCs w:val="21"/>
                    </w:rPr>
                  </w:pPr>
                  <w:r>
                    <w:rPr>
                      <w:rFonts w:hint="eastAsia"/>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Align w:val="center"/>
                </w:tcPr>
                <w:p>
                  <w:pPr>
                    <w:jc w:val="center"/>
                    <w:rPr>
                      <w:szCs w:val="21"/>
                    </w:rPr>
                  </w:pPr>
                  <w:r>
                    <w:rPr>
                      <w:rFonts w:hint="eastAsia"/>
                      <w:szCs w:val="21"/>
                    </w:rPr>
                    <w:t>3</w:t>
                  </w:r>
                </w:p>
              </w:tc>
              <w:tc>
                <w:tcPr>
                  <w:tcW w:w="4799" w:type="dxa"/>
                  <w:vAlign w:val="center"/>
                </w:tcPr>
                <w:p>
                  <w:pPr>
                    <w:jc w:val="center"/>
                    <w:rPr>
                      <w:szCs w:val="21"/>
                    </w:rPr>
                  </w:pPr>
                  <w:r>
                    <w:rPr>
                      <w:szCs w:val="21"/>
                    </w:rPr>
                    <w:t>5、深化工业污染治理。推进重点行业污染治理升级改造。全省新（改、扩）建项目全面执行二氧化硫、氮氧化物、颗粒物、挥发性有机物（VOCs）大气污染物特别排放限值标准，现有工业企业2019年9月底前完成特别排放限值改造。</w:t>
                  </w:r>
                </w:p>
              </w:tc>
              <w:tc>
                <w:tcPr>
                  <w:tcW w:w="2350" w:type="dxa"/>
                  <w:vAlign w:val="center"/>
                </w:tcPr>
                <w:p>
                  <w:pPr>
                    <w:adjustRightInd w:val="0"/>
                    <w:snapToGrid w:val="0"/>
                    <w:jc w:val="center"/>
                    <w:rPr>
                      <w:sz w:val="21"/>
                      <w:szCs w:val="21"/>
                    </w:rPr>
                  </w:pPr>
                  <w:r>
                    <w:rPr>
                      <w:szCs w:val="21"/>
                    </w:rPr>
                    <w:t>本项目主要废气污染物为</w:t>
                  </w:r>
                  <w:r>
                    <w:rPr>
                      <w:rFonts w:hint="eastAsia"/>
                      <w:szCs w:val="21"/>
                    </w:rPr>
                    <w:t>颗粒物</w:t>
                  </w:r>
                  <w:r>
                    <w:rPr>
                      <w:szCs w:val="21"/>
                    </w:rPr>
                    <w:t>，有组织废气排放</w:t>
                  </w:r>
                  <w:r>
                    <w:rPr>
                      <w:rFonts w:hint="eastAsia"/>
                      <w:szCs w:val="21"/>
                    </w:rPr>
                    <w:t>参照</w:t>
                  </w:r>
                  <w:r>
                    <w:rPr>
                      <w:sz w:val="21"/>
                      <w:szCs w:val="21"/>
                    </w:rPr>
                    <w:t>《合成树脂工业污染物排</w:t>
                  </w:r>
                </w:p>
                <w:p>
                  <w:pPr>
                    <w:adjustRightInd w:val="0"/>
                    <w:snapToGrid w:val="0"/>
                    <w:jc w:val="center"/>
                    <w:rPr>
                      <w:sz w:val="21"/>
                      <w:szCs w:val="21"/>
                    </w:rPr>
                  </w:pPr>
                  <w:r>
                    <w:rPr>
                      <w:sz w:val="21"/>
                      <w:szCs w:val="21"/>
                    </w:rPr>
                    <w:t>放标准》（GB31572-2015）</w:t>
                  </w:r>
                </w:p>
                <w:p>
                  <w:pPr>
                    <w:jc w:val="center"/>
                    <w:rPr>
                      <w:szCs w:val="21"/>
                    </w:rPr>
                  </w:pPr>
                  <w:r>
                    <w:rPr>
                      <w:sz w:val="21"/>
                      <w:szCs w:val="21"/>
                    </w:rPr>
                    <w:t>中表 5 和表 9</w:t>
                  </w:r>
                  <w:r>
                    <w:rPr>
                      <w:bCs/>
                      <w:sz w:val="21"/>
                      <w:szCs w:val="21"/>
                    </w:rPr>
                    <w:t>中</w:t>
                  </w:r>
                  <w:r>
                    <w:rPr>
                      <w:bCs/>
                      <w:szCs w:val="21"/>
                    </w:rPr>
                    <w:t>标准限值</w:t>
                  </w:r>
                </w:p>
              </w:tc>
              <w:tc>
                <w:tcPr>
                  <w:tcW w:w="654" w:type="dxa"/>
                  <w:vAlign w:val="center"/>
                </w:tcPr>
                <w:p>
                  <w:pPr>
                    <w:jc w:val="center"/>
                    <w:rPr>
                      <w:szCs w:val="21"/>
                    </w:rPr>
                  </w:pPr>
                  <w:r>
                    <w:rPr>
                      <w:rFonts w:hint="eastAsia"/>
                      <w:szCs w:val="21"/>
                    </w:rPr>
                    <w:t>符合</w:t>
                  </w:r>
                </w:p>
              </w:tc>
            </w:tr>
          </w:tbl>
          <w:p>
            <w:pPr>
              <w:spacing w:before="120" w:beforeLines="50" w:line="360" w:lineRule="auto"/>
              <w:ind w:firstLine="482" w:firstLineChars="200"/>
              <w:rPr>
                <w:b/>
                <w:sz w:val="24"/>
              </w:rPr>
            </w:pPr>
            <w:r>
              <w:rPr>
                <w:rFonts w:hint="eastAsia"/>
                <w:b/>
                <w:sz w:val="24"/>
              </w:rPr>
              <w:t>（5）</w:t>
            </w:r>
            <w:r>
              <w:rPr>
                <w:b/>
                <w:sz w:val="24"/>
              </w:rPr>
              <w:t xml:space="preserve">与“《生态环境部关于印发〈2020 年挥发性有机物治理攻坚方案〉的通知》（环大气[2020 ]33 号）”相符性分析 </w:t>
            </w:r>
          </w:p>
          <w:p>
            <w:pPr>
              <w:spacing w:line="360" w:lineRule="auto"/>
              <w:ind w:firstLine="480" w:firstLineChars="200"/>
              <w:jc w:val="left"/>
              <w:rPr>
                <w:bCs/>
                <w:sz w:val="24"/>
              </w:rPr>
            </w:pPr>
            <w:r>
              <w:rPr>
                <w:bCs/>
                <w:sz w:val="24"/>
              </w:rPr>
              <w:t>根据</w:t>
            </w:r>
            <w:r>
              <w:rPr>
                <w:rFonts w:hint="eastAsia"/>
                <w:bCs/>
                <w:sz w:val="24"/>
              </w:rPr>
              <w:t>《</w:t>
            </w:r>
            <w:r>
              <w:rPr>
                <w:bCs/>
                <w:sz w:val="24"/>
              </w:rPr>
              <w:t>关于印发</w:t>
            </w:r>
            <w:r>
              <w:rPr>
                <w:rFonts w:hint="eastAsia"/>
                <w:bCs/>
                <w:sz w:val="24"/>
              </w:rPr>
              <w:t>&lt;</w:t>
            </w:r>
            <w:r>
              <w:rPr>
                <w:bCs/>
                <w:sz w:val="24"/>
              </w:rPr>
              <w:t>2020年挥发性有机物治理攻坚方案</w:t>
            </w:r>
            <w:r>
              <w:rPr>
                <w:rFonts w:hint="eastAsia"/>
                <w:bCs/>
                <w:sz w:val="24"/>
              </w:rPr>
              <w:t>&gt;</w:t>
            </w:r>
            <w:r>
              <w:rPr>
                <w:bCs/>
                <w:sz w:val="24"/>
              </w:rPr>
              <w:t>的通知</w:t>
            </w:r>
            <w:r>
              <w:rPr>
                <w:rFonts w:hint="eastAsia"/>
                <w:bCs/>
                <w:sz w:val="24"/>
              </w:rPr>
              <w:t>》，大力推进低（无）VOCs含量原辅材料替代。将全面使用符合国家要求的低VOCs含量原辅材料的企业纳入正面清单和政府绿色采购清单。企业应建立原辅材料台账，记录VOCs原辅材料名称、成分、VOCs含量、采购量、使用量、库存量、回收方式、回收量等信息，并保存相关证明材料。采用符合国家有关低VOCs含量产品规定的涂料、油墨、胶粘剂等，排放浓度稳定达标且排放速率满足相关规定的，相应生产工序可不要求建设末端治理设施。使用的原辅材料VOCs含量（质量比）均低于10%的工序，可不要求采取无组织排放收集和处理措施。推进政府绿色采购，要求家具、印刷等政府定点招标采购企业优先使用低挥发性原辅材料，鼓励汽车维修等政府定点招标采购企业使用低挥发性原辅材料；将低VOCs含量产品纳入政府采购名录，并在政府投资项目中优先使用；引导将使用低VOCs含量涂料、胶粘剂等纳入政府采购装修合同环保条款。</w:t>
            </w:r>
          </w:p>
          <w:p>
            <w:pPr>
              <w:spacing w:line="360" w:lineRule="auto"/>
              <w:ind w:firstLine="480" w:firstLineChars="200"/>
              <w:rPr>
                <w:b/>
                <w:bCs/>
                <w:spacing w:val="-2"/>
                <w:sz w:val="24"/>
              </w:rPr>
            </w:pPr>
            <w:r>
              <w:rPr>
                <w:bCs/>
                <w:sz w:val="24"/>
              </w:rPr>
              <w:t>本项目</w:t>
            </w:r>
            <w:r>
              <w:rPr>
                <w:rFonts w:hint="eastAsia"/>
                <w:bCs/>
                <w:sz w:val="24"/>
              </w:rPr>
              <w:t>使用的塑料颗粒等均为外购新料且生产过程中挥发性有机物含量低</w:t>
            </w:r>
            <w:r>
              <w:rPr>
                <w:bCs/>
                <w:sz w:val="24"/>
              </w:rPr>
              <w:t>，因此，本项目 VOCs 控制符合《生态环境部关于印发〈2020 年挥发性有机物治理攻坚方案〉的通知》（环大气[2020]33 号）的要求。</w:t>
            </w:r>
          </w:p>
          <w:p>
            <w:pPr>
              <w:spacing w:line="360" w:lineRule="auto"/>
              <w:ind w:firstLine="482" w:firstLineChars="200"/>
              <w:rPr>
                <w:b/>
                <w:sz w:val="24"/>
              </w:rPr>
            </w:pPr>
            <w:r>
              <w:rPr>
                <w:rFonts w:hint="eastAsia"/>
                <w:b/>
                <w:sz w:val="24"/>
              </w:rPr>
              <w:t>（6）与环大气</w:t>
            </w:r>
            <w:r>
              <w:rPr>
                <w:b/>
                <w:sz w:val="24"/>
              </w:rPr>
              <w:t xml:space="preserve">[2019]53 </w:t>
            </w:r>
            <w:r>
              <w:rPr>
                <w:rFonts w:hint="eastAsia"/>
                <w:b/>
                <w:sz w:val="24"/>
              </w:rPr>
              <w:t>号《重点行业挥发性有机物综合治理方案》相符性</w:t>
            </w:r>
          </w:p>
          <w:p>
            <w:pPr>
              <w:spacing w:line="360" w:lineRule="auto"/>
              <w:jc w:val="center"/>
              <w:rPr>
                <w:b/>
                <w:sz w:val="24"/>
              </w:rPr>
            </w:pPr>
            <w:r>
              <w:rPr>
                <w:rFonts w:hint="eastAsia"/>
                <w:b/>
                <w:sz w:val="24"/>
              </w:rPr>
              <w:t>表1-5  与《重点行业挥发性有机物综合治理方案》相符性分析</w:t>
            </w:r>
          </w:p>
          <w:tbl>
            <w:tblPr>
              <w:tblStyle w:val="23"/>
              <w:tblW w:w="8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7"/>
              <w:gridCol w:w="197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87" w:type="dxa"/>
                  <w:vAlign w:val="center"/>
                </w:tcPr>
                <w:p>
                  <w:pPr>
                    <w:jc w:val="center"/>
                    <w:rPr>
                      <w:szCs w:val="21"/>
                    </w:rPr>
                  </w:pPr>
                  <w:r>
                    <w:rPr>
                      <w:b/>
                      <w:bCs/>
                      <w:szCs w:val="21"/>
                    </w:rPr>
                    <w:t>文件及要求</w:t>
                  </w:r>
                </w:p>
              </w:tc>
              <w:tc>
                <w:tcPr>
                  <w:tcW w:w="1977" w:type="dxa"/>
                  <w:vAlign w:val="center"/>
                </w:tcPr>
                <w:p>
                  <w:pPr>
                    <w:jc w:val="center"/>
                    <w:rPr>
                      <w:b/>
                      <w:bCs/>
                      <w:szCs w:val="21"/>
                    </w:rPr>
                  </w:pPr>
                  <w:r>
                    <w:rPr>
                      <w:b/>
                      <w:bCs/>
                      <w:szCs w:val="21"/>
                    </w:rPr>
                    <w:t>项目情况</w:t>
                  </w:r>
                </w:p>
              </w:tc>
              <w:tc>
                <w:tcPr>
                  <w:tcW w:w="900" w:type="dxa"/>
                  <w:vAlign w:val="center"/>
                </w:tcPr>
                <w:p>
                  <w:pPr>
                    <w:jc w:val="center"/>
                    <w:rPr>
                      <w:b/>
                      <w:bCs/>
                      <w:szCs w:val="21"/>
                    </w:rPr>
                  </w:pPr>
                  <w:r>
                    <w:rPr>
                      <w:b/>
                      <w:bCs/>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87" w:type="dxa"/>
                  <w:vAlign w:val="center"/>
                </w:tcPr>
                <w:p>
                  <w:pPr>
                    <w:jc w:val="center"/>
                    <w:rPr>
                      <w:kern w:val="0"/>
                      <w:szCs w:val="21"/>
                    </w:rPr>
                  </w:pPr>
                  <w:r>
                    <w:rPr>
                      <w:rFonts w:hAnsi="宋体"/>
                      <w:kern w:val="0"/>
                      <w:szCs w:val="21"/>
                    </w:rPr>
                    <w:t>大力推进源头替代。通过使用水性、粉末、高固体分、无溶剂、辐射固化等低</w:t>
                  </w:r>
                  <w:r>
                    <w:rPr>
                      <w:kern w:val="0"/>
                      <w:szCs w:val="21"/>
                    </w:rPr>
                    <w:t>VOCs</w:t>
                  </w:r>
                  <w:r>
                    <w:rPr>
                      <w:rFonts w:hAnsi="宋体"/>
                      <w:kern w:val="0"/>
                      <w:szCs w:val="21"/>
                    </w:rPr>
                    <w:t>含量的涂料，水性、辐射固化、植物基等低</w:t>
                  </w:r>
                  <w:r>
                    <w:rPr>
                      <w:kern w:val="0"/>
                      <w:szCs w:val="21"/>
                    </w:rPr>
                    <w:t>VOCs</w:t>
                  </w:r>
                  <w:r>
                    <w:rPr>
                      <w:rFonts w:hAnsi="宋体"/>
                      <w:kern w:val="0"/>
                      <w:szCs w:val="21"/>
                    </w:rPr>
                    <w:t>含量的油墨，水基、热熔、无溶剂、辐射固化、改性、生物降解等低</w:t>
                  </w:r>
                  <w:r>
                    <w:rPr>
                      <w:kern w:val="0"/>
                      <w:szCs w:val="21"/>
                    </w:rPr>
                    <w:t>VOCs</w:t>
                  </w:r>
                  <w:r>
                    <w:rPr>
                      <w:rFonts w:hAnsi="宋体"/>
                      <w:kern w:val="0"/>
                      <w:szCs w:val="21"/>
                    </w:rPr>
                    <w:t>含量的胶粘剂，以及低</w:t>
                  </w:r>
                  <w:r>
                    <w:rPr>
                      <w:kern w:val="0"/>
                      <w:szCs w:val="21"/>
                    </w:rPr>
                    <w:t>VOCs</w:t>
                  </w:r>
                  <w:r>
                    <w:rPr>
                      <w:rFonts w:hAnsi="宋体"/>
                      <w:kern w:val="0"/>
                      <w:szCs w:val="21"/>
                    </w:rPr>
                    <w:t>含量、低反应活性的清洗剂等，替代溶剂型涂料、油墨、胶粘剂、清洗剂等，从源头减少</w:t>
                  </w:r>
                  <w:r>
                    <w:rPr>
                      <w:kern w:val="0"/>
                      <w:szCs w:val="21"/>
                    </w:rPr>
                    <w:t>VOCs</w:t>
                  </w:r>
                  <w:r>
                    <w:rPr>
                      <w:rFonts w:hAnsi="宋体"/>
                      <w:kern w:val="0"/>
                      <w:szCs w:val="21"/>
                    </w:rPr>
                    <w:t>产生。工业涂装、包装印刷等行业要加大源头替代力度；化工行业要推广使用低（无）</w:t>
                  </w:r>
                  <w:r>
                    <w:rPr>
                      <w:kern w:val="0"/>
                      <w:szCs w:val="21"/>
                    </w:rPr>
                    <w:t>VOCs</w:t>
                  </w:r>
                  <w:r>
                    <w:rPr>
                      <w:rFonts w:hAnsi="宋体"/>
                      <w:kern w:val="0"/>
                      <w:szCs w:val="21"/>
                    </w:rPr>
                    <w:t>含量、低反应活性的原辅材料，加快对芳香烃、含卤素有机化合物的绿色替代。</w:t>
                  </w:r>
                </w:p>
              </w:tc>
              <w:tc>
                <w:tcPr>
                  <w:tcW w:w="1977" w:type="dxa"/>
                  <w:vAlign w:val="center"/>
                </w:tcPr>
                <w:p>
                  <w:pPr>
                    <w:jc w:val="center"/>
                    <w:rPr>
                      <w:szCs w:val="21"/>
                    </w:rPr>
                  </w:pPr>
                  <w:r>
                    <w:rPr>
                      <w:rFonts w:hAnsi="宋体"/>
                      <w:kern w:val="0"/>
                      <w:szCs w:val="21"/>
                    </w:rPr>
                    <w:t>本项目不使用涂料、油墨、胶黏剂、清洗剂</w:t>
                  </w:r>
                </w:p>
              </w:tc>
              <w:tc>
                <w:tcPr>
                  <w:tcW w:w="900" w:type="dxa"/>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87" w:type="dxa"/>
                  <w:vAlign w:val="center"/>
                </w:tcPr>
                <w:p>
                  <w:pPr>
                    <w:jc w:val="center"/>
                    <w:rPr>
                      <w:kern w:val="0"/>
                      <w:szCs w:val="21"/>
                    </w:rPr>
                  </w:pPr>
                  <w:r>
                    <w:rPr>
                      <w:rFonts w:hAnsi="宋体"/>
                      <w:kern w:val="0"/>
                      <w:szCs w:val="21"/>
                    </w:rPr>
                    <w:t>全面加强无组织排放控制。重点对含</w:t>
                  </w:r>
                  <w:r>
                    <w:rPr>
                      <w:kern w:val="0"/>
                      <w:szCs w:val="21"/>
                    </w:rPr>
                    <w:t>VOCs</w:t>
                  </w:r>
                  <w:r>
                    <w:rPr>
                      <w:rFonts w:hAnsi="宋体"/>
                      <w:kern w:val="0"/>
                      <w:szCs w:val="21"/>
                    </w:rPr>
                    <w:t>物料（包括含</w:t>
                  </w:r>
                  <w:r>
                    <w:rPr>
                      <w:kern w:val="0"/>
                      <w:szCs w:val="21"/>
                    </w:rPr>
                    <w:t>VOCs</w:t>
                  </w:r>
                  <w:r>
                    <w:rPr>
                      <w:rFonts w:hAnsi="宋体"/>
                      <w:kern w:val="0"/>
                      <w:szCs w:val="21"/>
                    </w:rPr>
                    <w:t>原辅材料、含</w:t>
                  </w:r>
                  <w:r>
                    <w:rPr>
                      <w:kern w:val="0"/>
                      <w:szCs w:val="21"/>
                    </w:rPr>
                    <w:t>VOCs</w:t>
                  </w:r>
                  <w:r>
                    <w:rPr>
                      <w:rFonts w:hAnsi="宋体"/>
                      <w:kern w:val="0"/>
                      <w:szCs w:val="21"/>
                    </w:rPr>
                    <w:t>产品、含</w:t>
                  </w:r>
                  <w:r>
                    <w:rPr>
                      <w:kern w:val="0"/>
                      <w:szCs w:val="21"/>
                    </w:rPr>
                    <w:t>VOCs</w:t>
                  </w:r>
                  <w:r>
                    <w:rPr>
                      <w:rFonts w:hAnsi="宋体"/>
                      <w:kern w:val="0"/>
                      <w:szCs w:val="21"/>
                    </w:rPr>
                    <w:t>废料以及有机聚合物材料等）储存、转移和输送、设备与管线组件泄漏、敞开液面逸散以及工艺过程等五类排放源实施管控，通过采取设备与场所密闭、工艺改进、废气有效收集等措施，削减</w:t>
                  </w:r>
                  <w:r>
                    <w:rPr>
                      <w:kern w:val="0"/>
                      <w:szCs w:val="21"/>
                    </w:rPr>
                    <w:t>VOCs</w:t>
                  </w:r>
                  <w:r>
                    <w:rPr>
                      <w:rFonts w:hAnsi="宋体"/>
                      <w:kern w:val="0"/>
                      <w:szCs w:val="21"/>
                    </w:rPr>
                    <w:t>无组织排放。</w:t>
                  </w:r>
                </w:p>
              </w:tc>
              <w:tc>
                <w:tcPr>
                  <w:tcW w:w="1977" w:type="dxa"/>
                  <w:vAlign w:val="center"/>
                </w:tcPr>
                <w:p>
                  <w:pPr>
                    <w:jc w:val="center"/>
                    <w:rPr>
                      <w:szCs w:val="21"/>
                    </w:rPr>
                  </w:pPr>
                  <w:r>
                    <w:rPr>
                      <w:rFonts w:hAnsi="宋体"/>
                      <w:kern w:val="0"/>
                      <w:szCs w:val="21"/>
                    </w:rPr>
                    <w:t>项目产生的非甲烷总烃设集气罩收集通过管道引入</w:t>
                  </w:r>
                  <w:r>
                    <w:rPr>
                      <w:rFonts w:hint="eastAsia" w:hAnsi="宋体"/>
                      <w:kern w:val="0"/>
                      <w:szCs w:val="21"/>
                    </w:rPr>
                    <w:t>二级活性炭吸附</w:t>
                  </w:r>
                  <w:r>
                    <w:rPr>
                      <w:rFonts w:hAnsi="宋体"/>
                      <w:kern w:val="0"/>
                      <w:szCs w:val="21"/>
                    </w:rPr>
                    <w:t>装置处理</w:t>
                  </w:r>
                </w:p>
              </w:tc>
              <w:tc>
                <w:tcPr>
                  <w:tcW w:w="900" w:type="dxa"/>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87" w:type="dxa"/>
                  <w:vAlign w:val="center"/>
                </w:tcPr>
                <w:p>
                  <w:pPr>
                    <w:jc w:val="center"/>
                    <w:rPr>
                      <w:kern w:val="0"/>
                      <w:szCs w:val="21"/>
                    </w:rPr>
                  </w:pPr>
                  <w:r>
                    <w:rPr>
                      <w:rFonts w:hAnsi="宋体"/>
                      <w:kern w:val="0"/>
                      <w:szCs w:val="21"/>
                    </w:rPr>
                    <w:t>采用全密闭集气罩或密闭空间的，除行业有特殊要求外，应保持微负压状态，并根据相关规范合理设置通风量。采用局部集气罩的，距集气罩开口面最远处的</w:t>
                  </w:r>
                  <w:r>
                    <w:rPr>
                      <w:kern w:val="0"/>
                      <w:szCs w:val="21"/>
                    </w:rPr>
                    <w:t>VOCs</w:t>
                  </w:r>
                  <w:r>
                    <w:rPr>
                      <w:rFonts w:hAnsi="宋体"/>
                      <w:kern w:val="0"/>
                      <w:szCs w:val="21"/>
                    </w:rPr>
                    <w:t>无组织排放位置，控制风速应不低于</w:t>
                  </w:r>
                  <w:r>
                    <w:rPr>
                      <w:kern w:val="0"/>
                      <w:szCs w:val="21"/>
                    </w:rPr>
                    <w:t>0.3</w:t>
                  </w:r>
                  <w:r>
                    <w:rPr>
                      <w:rFonts w:hAnsi="宋体"/>
                      <w:kern w:val="0"/>
                      <w:szCs w:val="21"/>
                    </w:rPr>
                    <w:t>米</w:t>
                  </w:r>
                  <w:r>
                    <w:rPr>
                      <w:kern w:val="0"/>
                      <w:szCs w:val="21"/>
                    </w:rPr>
                    <w:t>/</w:t>
                  </w:r>
                  <w:r>
                    <w:rPr>
                      <w:rFonts w:hAnsi="宋体"/>
                      <w:kern w:val="0"/>
                      <w:szCs w:val="21"/>
                    </w:rPr>
                    <w:t>秒，有行业要求的按相关规定执行。</w:t>
                  </w:r>
                </w:p>
              </w:tc>
              <w:tc>
                <w:tcPr>
                  <w:tcW w:w="1977" w:type="dxa"/>
                  <w:vAlign w:val="center"/>
                </w:tcPr>
                <w:p>
                  <w:pPr>
                    <w:jc w:val="center"/>
                    <w:rPr>
                      <w:szCs w:val="21"/>
                    </w:rPr>
                  </w:pPr>
                  <w:r>
                    <w:rPr>
                      <w:rFonts w:hint="eastAsia" w:hAnsi="宋体"/>
                      <w:kern w:val="0"/>
                      <w:szCs w:val="21"/>
                    </w:rPr>
                    <w:t>产生废气的位置设置集气罩，控制风速不低于0.3米/秒</w:t>
                  </w:r>
                </w:p>
              </w:tc>
              <w:tc>
                <w:tcPr>
                  <w:tcW w:w="900" w:type="dxa"/>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87" w:type="dxa"/>
                  <w:vAlign w:val="center"/>
                </w:tcPr>
                <w:p>
                  <w:pPr>
                    <w:jc w:val="center"/>
                    <w:rPr>
                      <w:kern w:val="0"/>
                      <w:szCs w:val="21"/>
                    </w:rPr>
                  </w:pPr>
                  <w:r>
                    <w:rPr>
                      <w:rFonts w:hAnsi="宋体"/>
                      <w:kern w:val="0"/>
                      <w:szCs w:val="21"/>
                    </w:rPr>
                    <w:t>低温等离子、光催化、光氧化技术主要适用于恶臭异味等治理；生物法主要适用于低浓度</w:t>
                  </w:r>
                  <w:r>
                    <w:rPr>
                      <w:kern w:val="0"/>
                      <w:szCs w:val="21"/>
                    </w:rPr>
                    <w:t>VOCs</w:t>
                  </w:r>
                  <w:r>
                    <w:rPr>
                      <w:rFonts w:hAnsi="宋体"/>
                      <w:kern w:val="0"/>
                      <w:szCs w:val="21"/>
                    </w:rPr>
                    <w:t>废气治理和恶臭异味治理。非水溶性的</w:t>
                  </w:r>
                  <w:r>
                    <w:rPr>
                      <w:kern w:val="0"/>
                      <w:szCs w:val="21"/>
                    </w:rPr>
                    <w:t>VOCs</w:t>
                  </w:r>
                  <w:r>
                    <w:rPr>
                      <w:rFonts w:hAnsi="宋体"/>
                      <w:kern w:val="0"/>
                      <w:szCs w:val="21"/>
                    </w:rPr>
                    <w:t>废气禁止采用水或水溶液喷淋吸收处理。采用一次性活性炭吸附技术的，应定期更换活性炭，废旧活性炭应再生或处理处置。有条件的工业园区和产业集群等，推广集中喷涂、溶剂集中回收、活性炭集中再生等，加强资源共享，提高</w:t>
                  </w:r>
                  <w:r>
                    <w:rPr>
                      <w:kern w:val="0"/>
                      <w:szCs w:val="21"/>
                    </w:rPr>
                    <w:t>VOCs</w:t>
                  </w:r>
                  <w:r>
                    <w:rPr>
                      <w:rFonts w:hAnsi="宋体"/>
                      <w:kern w:val="0"/>
                      <w:szCs w:val="21"/>
                    </w:rPr>
                    <w:t>治理效率。</w:t>
                  </w:r>
                </w:p>
              </w:tc>
              <w:tc>
                <w:tcPr>
                  <w:tcW w:w="1977" w:type="dxa"/>
                  <w:vAlign w:val="center"/>
                </w:tcPr>
                <w:p>
                  <w:pPr>
                    <w:jc w:val="center"/>
                    <w:rPr>
                      <w:szCs w:val="21"/>
                    </w:rPr>
                  </w:pPr>
                  <w:r>
                    <w:rPr>
                      <w:rFonts w:hAnsi="宋体"/>
                      <w:kern w:val="0"/>
                      <w:szCs w:val="21"/>
                    </w:rPr>
                    <w:t>项目采用</w:t>
                  </w:r>
                  <w:r>
                    <w:rPr>
                      <w:rFonts w:hint="eastAsia" w:hAnsi="宋体"/>
                      <w:kern w:val="0"/>
                      <w:szCs w:val="21"/>
                    </w:rPr>
                    <w:t>二级活性炭吸附装置</w:t>
                  </w:r>
                  <w:r>
                    <w:rPr>
                      <w:rFonts w:hAnsi="宋体"/>
                      <w:kern w:val="0"/>
                      <w:szCs w:val="21"/>
                    </w:rPr>
                    <w:t>处理的措施</w:t>
                  </w:r>
                  <w:r>
                    <w:rPr>
                      <w:rFonts w:hint="eastAsia" w:hAnsi="宋体"/>
                      <w:kern w:val="0"/>
                      <w:szCs w:val="21"/>
                    </w:rPr>
                    <w:t>，并定期更换活性炭</w:t>
                  </w:r>
                </w:p>
              </w:tc>
              <w:tc>
                <w:tcPr>
                  <w:tcW w:w="900" w:type="dxa"/>
                  <w:vAlign w:val="center"/>
                </w:tcPr>
                <w:p>
                  <w:pPr>
                    <w:jc w:val="center"/>
                    <w:rPr>
                      <w:szCs w:val="21"/>
                    </w:rPr>
                  </w:pPr>
                  <w:r>
                    <w:rPr>
                      <w:szCs w:val="21"/>
                    </w:rPr>
                    <w:t>符合</w:t>
                  </w:r>
                </w:p>
              </w:tc>
            </w:tr>
          </w:tbl>
          <w:p>
            <w:pPr>
              <w:widowControl/>
              <w:spacing w:before="120" w:beforeLines="50" w:line="360" w:lineRule="auto"/>
              <w:ind w:firstLine="480" w:firstLineChars="200"/>
              <w:jc w:val="left"/>
              <w:rPr>
                <w:kern w:val="0"/>
                <w:sz w:val="24"/>
              </w:rPr>
            </w:pPr>
            <w:r>
              <w:rPr>
                <w:kern w:val="0"/>
                <w:sz w:val="24"/>
              </w:rPr>
              <w:t>综上</w:t>
            </w:r>
            <w:r>
              <w:rPr>
                <w:rFonts w:hint="eastAsia"/>
                <w:kern w:val="0"/>
                <w:sz w:val="24"/>
              </w:rPr>
              <w:t>，</w:t>
            </w:r>
            <w:r>
              <w:rPr>
                <w:kern w:val="0"/>
                <w:sz w:val="24"/>
              </w:rPr>
              <w:t>本项目 VOCs 控制符合</w:t>
            </w:r>
            <w:r>
              <w:rPr>
                <w:rFonts w:hint="eastAsia"/>
                <w:sz w:val="24"/>
              </w:rPr>
              <w:t>《重点行业挥发性有机物综合治理方案》</w:t>
            </w:r>
            <w:r>
              <w:rPr>
                <w:kern w:val="0"/>
                <w:sz w:val="24"/>
              </w:rPr>
              <w:t>的要求。</w:t>
            </w:r>
          </w:p>
          <w:p>
            <w:pPr>
              <w:spacing w:line="360" w:lineRule="auto"/>
              <w:ind w:firstLine="474" w:firstLineChars="200"/>
              <w:jc w:val="left"/>
              <w:rPr>
                <w:b/>
                <w:spacing w:val="-2"/>
                <w:sz w:val="24"/>
              </w:rPr>
            </w:pPr>
            <w:r>
              <w:rPr>
                <w:rFonts w:hint="eastAsia"/>
                <w:b/>
                <w:spacing w:val="-2"/>
                <w:sz w:val="24"/>
              </w:rPr>
              <w:t>（7）与关于印发《长三角地区 2020-2021 年秋冬季大气污染综合治理攻坚行动方案》的通知（环大气[2020]62 号）相符性分析（摘录）。</w:t>
            </w:r>
          </w:p>
          <w:p>
            <w:pPr>
              <w:pStyle w:val="13"/>
              <w:ind w:left="0" w:leftChars="0" w:firstLine="0" w:firstLineChars="0"/>
              <w:jc w:val="center"/>
              <w:rPr>
                <w:b/>
                <w:bCs/>
                <w:sz w:val="24"/>
              </w:rPr>
            </w:pPr>
            <w:r>
              <w:rPr>
                <w:b/>
                <w:bCs/>
                <w:sz w:val="24"/>
              </w:rPr>
              <w:t>表</w:t>
            </w:r>
            <w:r>
              <w:rPr>
                <w:rFonts w:hint="eastAsia"/>
                <w:b/>
                <w:bCs/>
                <w:sz w:val="24"/>
              </w:rPr>
              <w:t>1-6</w:t>
            </w:r>
            <w:r>
              <w:rPr>
                <w:b/>
                <w:bCs/>
                <w:sz w:val="24"/>
              </w:rPr>
              <w:t xml:space="preserve">  与相关文件相符性分析一览表</w:t>
            </w:r>
          </w:p>
          <w:tbl>
            <w:tblPr>
              <w:tblStyle w:val="22"/>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4"/>
              <w:gridCol w:w="1330"/>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4" w:type="dxa"/>
                  <w:vAlign w:val="center"/>
                </w:tcPr>
                <w:p>
                  <w:pPr>
                    <w:pStyle w:val="13"/>
                    <w:spacing w:after="0"/>
                    <w:ind w:left="0" w:leftChars="0" w:firstLine="0" w:firstLineChars="0"/>
                    <w:jc w:val="center"/>
                    <w:rPr>
                      <w:szCs w:val="21"/>
                    </w:rPr>
                  </w:pPr>
                  <w:r>
                    <w:rPr>
                      <w:b/>
                      <w:bCs/>
                      <w:szCs w:val="21"/>
                    </w:rPr>
                    <w:t>《长三角地区20</w:t>
                  </w:r>
                  <w:r>
                    <w:rPr>
                      <w:rFonts w:hint="eastAsia"/>
                      <w:b/>
                      <w:bCs/>
                      <w:szCs w:val="21"/>
                    </w:rPr>
                    <w:t>20</w:t>
                  </w:r>
                  <w:r>
                    <w:rPr>
                      <w:b/>
                      <w:bCs/>
                      <w:szCs w:val="21"/>
                    </w:rPr>
                    <w:t>-20</w:t>
                  </w:r>
                  <w:r>
                    <w:rPr>
                      <w:rFonts w:hint="eastAsia"/>
                      <w:b/>
                      <w:bCs/>
                      <w:szCs w:val="21"/>
                    </w:rPr>
                    <w:t>21</w:t>
                  </w:r>
                  <w:r>
                    <w:rPr>
                      <w:b/>
                      <w:bCs/>
                      <w:szCs w:val="21"/>
                    </w:rPr>
                    <w:t>年秋冬季大气污染综合治理攻坚行动方案》中要求（节选）</w:t>
                  </w:r>
                </w:p>
              </w:tc>
              <w:tc>
                <w:tcPr>
                  <w:tcW w:w="1330" w:type="dxa"/>
                  <w:vAlign w:val="center"/>
                </w:tcPr>
                <w:p>
                  <w:pPr>
                    <w:pStyle w:val="13"/>
                    <w:spacing w:after="0"/>
                    <w:ind w:left="0" w:leftChars="0" w:firstLine="0" w:firstLineChars="0"/>
                    <w:jc w:val="center"/>
                    <w:rPr>
                      <w:b/>
                      <w:szCs w:val="21"/>
                    </w:rPr>
                  </w:pPr>
                  <w:r>
                    <w:rPr>
                      <w:b/>
                      <w:szCs w:val="21"/>
                    </w:rPr>
                    <w:t>本项目情况</w:t>
                  </w:r>
                </w:p>
              </w:tc>
              <w:tc>
                <w:tcPr>
                  <w:tcW w:w="1093" w:type="dxa"/>
                  <w:vAlign w:val="center"/>
                </w:tcPr>
                <w:p>
                  <w:pPr>
                    <w:pStyle w:val="13"/>
                    <w:spacing w:after="0"/>
                    <w:ind w:left="0" w:leftChars="0" w:firstLine="0" w:firstLineChars="0"/>
                    <w:jc w:val="center"/>
                    <w:rPr>
                      <w:b/>
                      <w:szCs w:val="21"/>
                    </w:rPr>
                  </w:pPr>
                  <w:r>
                    <w:rPr>
                      <w:b/>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14" w:type="dxa"/>
                  <w:vAlign w:val="center"/>
                </w:tcPr>
                <w:p>
                  <w:pPr>
                    <w:widowControl/>
                    <w:jc w:val="center"/>
                    <w:rPr>
                      <w:kern w:val="0"/>
                      <w:szCs w:val="21"/>
                    </w:rPr>
                  </w:pPr>
                  <w:r>
                    <w:rPr>
                      <w:kern w:val="0"/>
                      <w:szCs w:val="21"/>
                    </w:rPr>
                    <w:t>（四）严防“散乱污”企业反弹。各城市完善动态管理机制，实现“散乱污”企业动态清零。将完成整改的企业及时移出“散乱污”清单，对新发现的“散乱污”企业建档立册，及时纳入管理台账。进一步夯实网格化管理，落实乡镇街道属地管理责任，定期开展排查整治工作，发现一起、整治一起。坚决防止已关停取缔的“散乱污”企业死灰复燃、异地转移，坚决遏制反弹现象。</w:t>
                  </w:r>
                </w:p>
              </w:tc>
              <w:tc>
                <w:tcPr>
                  <w:tcW w:w="1330" w:type="dxa"/>
                  <w:vAlign w:val="center"/>
                </w:tcPr>
                <w:p>
                  <w:pPr>
                    <w:widowControl/>
                    <w:jc w:val="center"/>
                    <w:rPr>
                      <w:kern w:val="0"/>
                      <w:szCs w:val="21"/>
                    </w:rPr>
                  </w:pPr>
                  <w:r>
                    <w:rPr>
                      <w:kern w:val="0"/>
                      <w:szCs w:val="21"/>
                    </w:rPr>
                    <w:t>建设项目位于</w:t>
                  </w:r>
                  <w:r>
                    <w:rPr>
                      <w:rFonts w:hint="eastAsia"/>
                      <w:szCs w:val="21"/>
                    </w:rPr>
                    <w:t>位于中新苏滁高新技术产业开发区（原苏滁现代产业园）</w:t>
                  </w:r>
                  <w:r>
                    <w:rPr>
                      <w:kern w:val="0"/>
                      <w:szCs w:val="21"/>
                    </w:rPr>
                    <w:t>，不属于“散乱污”企业</w:t>
                  </w:r>
                </w:p>
              </w:tc>
              <w:tc>
                <w:tcPr>
                  <w:tcW w:w="1093" w:type="dxa"/>
                  <w:vAlign w:val="center"/>
                </w:tcPr>
                <w:p>
                  <w:pPr>
                    <w:pStyle w:val="13"/>
                    <w:spacing w:after="0"/>
                    <w:ind w:left="0" w:leftChars="0" w:firstLine="0" w:firstLineChars="0"/>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514" w:type="dxa"/>
                  <w:vAlign w:val="center"/>
                </w:tcPr>
                <w:p>
                  <w:pPr>
                    <w:widowControl/>
                    <w:jc w:val="center"/>
                    <w:rPr>
                      <w:kern w:val="0"/>
                      <w:szCs w:val="21"/>
                    </w:rPr>
                  </w:pPr>
                  <w:r>
                    <w:rPr>
                      <w:kern w:val="0"/>
                      <w:szCs w:val="21"/>
                    </w:rPr>
                    <w:t>（七） 持续推进挥发性有机物（VOCs）治理攻坚。落实《2020年挥发性有机物治理攻坚方案》，持续推进VOCs治理攻坚各项任务措施。完成重点治理工程建设，做到“夏病冬治”。2020年12月底前，组织完成石化、化工、工业涂装、包装印刷等企业废气排放系统旁路摸底排查，石化、化工行业火炬排放情况排查，原油、成品油、有机化学品等挥发性有机液体储罐排查，港口码头油气回收设施建设、使用情况排查，建立管理清单。2021年3月底前，督促企业取消非必要的旁路，因安全生产等原因必须保留的，通过铅封、安装自动监控设施、流量计等方式加强监管；在确保安全的情况下，督促石化、化工企业通过安装火炬系统温度监控、视频监控及热值检测仪、废气流量计、助燃气体流量计等加强火炬系统排放监管。进一步加大石化、化工、制药、农药、汽车制造、船舶制造与维修、家具制造、包装印刷等行业废气综合治理力度，推动重点行业“一行一策”，加大清洁生产改造力度。</w:t>
                  </w:r>
                </w:p>
              </w:tc>
              <w:tc>
                <w:tcPr>
                  <w:tcW w:w="1330" w:type="dxa"/>
                  <w:vAlign w:val="center"/>
                </w:tcPr>
                <w:p>
                  <w:pPr>
                    <w:widowControl/>
                    <w:jc w:val="center"/>
                    <w:rPr>
                      <w:kern w:val="0"/>
                      <w:szCs w:val="21"/>
                    </w:rPr>
                  </w:pPr>
                  <w:r>
                    <w:rPr>
                      <w:kern w:val="0"/>
                      <w:szCs w:val="21"/>
                    </w:rPr>
                    <w:t>本项目</w:t>
                  </w:r>
                  <w:r>
                    <w:rPr>
                      <w:rFonts w:hint="eastAsia"/>
                      <w:kern w:val="0"/>
                      <w:szCs w:val="21"/>
                    </w:rPr>
                    <w:t>产生的非甲烷总烃通过集气罩收集，经二级活性炭吸附装置处理后经15m高排气筒，达标排放，杜绝废气排放系统旁路排放</w:t>
                  </w:r>
                </w:p>
              </w:tc>
              <w:tc>
                <w:tcPr>
                  <w:tcW w:w="1093" w:type="dxa"/>
                  <w:vAlign w:val="center"/>
                </w:tcPr>
                <w:p>
                  <w:pPr>
                    <w:pStyle w:val="13"/>
                    <w:spacing w:after="0"/>
                    <w:ind w:left="0" w:leftChars="0" w:firstLine="0" w:firstLineChars="0"/>
                    <w:jc w:val="center"/>
                  </w:pPr>
                  <w:r>
                    <w:rPr>
                      <w:szCs w:val="21"/>
                    </w:rPr>
                    <w:t>相符</w:t>
                  </w:r>
                </w:p>
              </w:tc>
            </w:tr>
          </w:tbl>
          <w:p>
            <w:pPr>
              <w:spacing w:line="360" w:lineRule="auto"/>
              <w:rPr>
                <w:b/>
                <w:bCs/>
                <w:spacing w:val="-2"/>
                <w:sz w:val="24"/>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tc>
      </w:tr>
    </w:tbl>
    <w:p>
      <w:pPr>
        <w:spacing w:line="360" w:lineRule="auto"/>
        <w:outlineLvl w:val="0"/>
        <w:rPr>
          <w:rFonts w:eastAsia="黑体"/>
          <w:sz w:val="30"/>
        </w:rPr>
        <w:sectPr>
          <w:footerReference r:id="rId5" w:type="default"/>
          <w:pgSz w:w="11906" w:h="16838"/>
          <w:pgMar w:top="1701" w:right="1531" w:bottom="1701" w:left="1531" w:header="851" w:footer="1077" w:gutter="0"/>
          <w:pgNumType w:start="1"/>
          <w:cols w:space="720" w:num="1"/>
          <w:docGrid w:linePitch="312" w:charSpace="0"/>
        </w:sectPr>
      </w:pPr>
    </w:p>
    <w:p>
      <w:pPr>
        <w:pStyle w:val="19"/>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6"/>
        <w:gridCol w:w="84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86" w:type="dxa"/>
            <w:vAlign w:val="center"/>
          </w:tcPr>
          <w:p>
            <w:pPr>
              <w:pStyle w:val="19"/>
              <w:adjustRightInd w:val="0"/>
              <w:snapToGrid w:val="0"/>
              <w:spacing w:before="0" w:beforeAutospacing="0" w:after="0" w:afterAutospacing="0" w:line="480" w:lineRule="auto"/>
              <w:jc w:val="center"/>
              <w:rPr>
                <w:rFonts w:cs="宋体"/>
                <w:sz w:val="28"/>
                <w:szCs w:val="28"/>
              </w:rPr>
            </w:pPr>
            <w:r>
              <w:rPr>
                <w:rFonts w:hint="eastAsia" w:cs="宋体"/>
                <w:sz w:val="28"/>
                <w:szCs w:val="28"/>
              </w:rPr>
              <w:t>建</w:t>
            </w:r>
          </w:p>
          <w:p>
            <w:pPr>
              <w:pStyle w:val="19"/>
              <w:adjustRightInd w:val="0"/>
              <w:snapToGrid w:val="0"/>
              <w:spacing w:before="0" w:beforeAutospacing="0" w:after="0" w:afterAutospacing="0" w:line="480" w:lineRule="auto"/>
              <w:jc w:val="center"/>
              <w:rPr>
                <w:rFonts w:cs="宋体"/>
                <w:sz w:val="28"/>
                <w:szCs w:val="28"/>
              </w:rPr>
            </w:pPr>
            <w:r>
              <w:rPr>
                <w:rFonts w:hint="eastAsia" w:cs="宋体"/>
                <w:sz w:val="28"/>
                <w:szCs w:val="28"/>
              </w:rPr>
              <w:t>设</w:t>
            </w:r>
          </w:p>
          <w:p>
            <w:pPr>
              <w:pStyle w:val="19"/>
              <w:adjustRightInd w:val="0"/>
              <w:snapToGrid w:val="0"/>
              <w:spacing w:before="0" w:beforeAutospacing="0" w:after="0" w:afterAutospacing="0" w:line="480" w:lineRule="auto"/>
              <w:jc w:val="center"/>
              <w:rPr>
                <w:rFonts w:cs="宋体"/>
                <w:sz w:val="28"/>
                <w:szCs w:val="28"/>
              </w:rPr>
            </w:pPr>
            <w:r>
              <w:rPr>
                <w:rFonts w:hint="eastAsia" w:cs="宋体"/>
                <w:sz w:val="28"/>
                <w:szCs w:val="28"/>
              </w:rPr>
              <w:t>内</w:t>
            </w:r>
          </w:p>
          <w:p>
            <w:pPr>
              <w:pStyle w:val="19"/>
              <w:adjustRightInd w:val="0"/>
              <w:snapToGrid w:val="0"/>
              <w:spacing w:before="0" w:beforeAutospacing="0" w:after="0" w:afterAutospacing="0" w:line="480" w:lineRule="auto"/>
              <w:jc w:val="center"/>
              <w:rPr>
                <w:rFonts w:cs="宋体"/>
                <w:sz w:val="28"/>
                <w:szCs w:val="28"/>
              </w:rPr>
            </w:pPr>
            <w:r>
              <w:rPr>
                <w:rFonts w:hint="eastAsia" w:cs="宋体"/>
                <w:sz w:val="28"/>
                <w:szCs w:val="28"/>
              </w:rPr>
              <w:t>容</w:t>
            </w:r>
          </w:p>
        </w:tc>
        <w:tc>
          <w:tcPr>
            <w:tcW w:w="8498" w:type="dxa"/>
          </w:tcPr>
          <w:p>
            <w:pPr>
              <w:snapToGrid w:val="0"/>
              <w:spacing w:line="520" w:lineRule="exact"/>
              <w:ind w:firstLine="482" w:firstLineChars="200"/>
              <w:jc w:val="left"/>
              <w:rPr>
                <w:b/>
                <w:bCs/>
                <w:sz w:val="24"/>
              </w:rPr>
            </w:pPr>
            <w:r>
              <w:rPr>
                <w:rFonts w:hint="eastAsia"/>
                <w:b/>
                <w:bCs/>
                <w:sz w:val="24"/>
              </w:rPr>
              <w:t>1、项目由来</w:t>
            </w:r>
          </w:p>
          <w:p>
            <w:pPr>
              <w:snapToGrid w:val="0"/>
              <w:spacing w:line="360" w:lineRule="auto"/>
              <w:ind w:firstLine="480" w:firstLineChars="200"/>
              <w:jc w:val="left"/>
              <w:rPr>
                <w:sz w:val="24"/>
              </w:rPr>
            </w:pPr>
            <w:r>
              <w:rPr>
                <w:rFonts w:hint="eastAsia"/>
                <w:sz w:val="24"/>
              </w:rPr>
              <w:t>波力食品工业（滁州）有限公司主要生产销售各类“绿色天然健康”的休闲食品。2017 年 9 月，企业取得了苏滁现代产业园建设房产环保局关于《波力食品工业（滁州）有限公司饼干生产、加工项目环境影响报告表》的批复文件（文号：苏滁建房环函[2017]49 号，详见附件）。目前该项目生产线建设完成，尚未投产，未办理环保竣工验收工作。因企业发展需求，增加海苔生产线，企业重新报批，2018年8月取得了苏滁现代产业园建设房产环保局关于《波力食品工业（滁州）有限公司水加工品（干制水产品）生产、加工项目环境影响报告表》的批复文件（文号：苏滁建房环函[2018]48号，详见附件），并于2019年1</w:t>
            </w:r>
            <w:r>
              <w:rPr>
                <w:rFonts w:hint="eastAsia"/>
                <w:sz w:val="24"/>
                <w:lang w:val="en-US" w:eastAsia="zh-CN"/>
              </w:rPr>
              <w:t>2</w:t>
            </w:r>
            <w:r>
              <w:rPr>
                <w:rFonts w:hint="eastAsia"/>
                <w:sz w:val="24"/>
              </w:rPr>
              <w:t>月取得了《波力食品工业（滁州）有限公司水加工品（干制水产品）生产、加工项目阶段性竣工环境保护验收意见》（见附件8）。</w:t>
            </w:r>
          </w:p>
          <w:p>
            <w:pPr>
              <w:pStyle w:val="9"/>
              <w:spacing w:line="360" w:lineRule="auto"/>
              <w:ind w:firstLine="480" w:firstLineChars="200"/>
            </w:pPr>
            <w:r>
              <w:rPr>
                <w:rFonts w:hint="eastAsia"/>
              </w:rPr>
              <w:t>现企业根据市场需求，扩大生产，利用现有2#厂房建设二期项目，并取得苏滁产业园经发局关于水产加工品（干制水产品）生产、塑料制品生产加工项目的备案（项目代码：2101-341171-04-02-525174，见附件）。项目拟在</w:t>
            </w:r>
            <w:r>
              <w:rPr>
                <w:rFonts w:hint="eastAsia" w:hAnsi="宋体"/>
              </w:rPr>
              <w:t>苏滁产业园常州南路611号投资5000万元建设年产600t原味海苔，2000t夹心海苔，为方便后续产品使用，采用不同的塑料包装制品进行包装，</w:t>
            </w:r>
            <w:r>
              <w:rPr>
                <w:rFonts w:hint="eastAsia"/>
              </w:rPr>
              <w:t>因此企业配套建设2500t塑料包装制品生产线用于本项目产品包装。</w:t>
            </w:r>
          </w:p>
          <w:p>
            <w:pPr>
              <w:snapToGrid w:val="0"/>
              <w:spacing w:line="360" w:lineRule="auto"/>
              <w:ind w:firstLine="480" w:firstLineChars="200"/>
              <w:jc w:val="left"/>
              <w:rPr>
                <w:b/>
                <w:bCs/>
                <w:sz w:val="24"/>
              </w:rPr>
            </w:pPr>
            <w:r>
              <w:rPr>
                <w:rFonts w:hint="eastAsia"/>
                <w:kern w:val="0"/>
                <w:sz w:val="24"/>
              </w:rPr>
              <w:t>根据《中华人民共和国环境保护法》（2015.1.1）、《中华人民共和国环境影响评价法》（2018.12.29）、《建设项目环境保护管理条例》（2017.10.1）以及其它相关建设项目环境保护管理的规定，要求本项目进行环境影响评价。本项目为</w:t>
            </w:r>
            <w:r>
              <w:rPr>
                <w:rFonts w:hint="eastAsia"/>
                <w:sz w:val="24"/>
              </w:rPr>
              <w:t>水产加工品（干制水产品）生产、塑料制品生产加工项目，</w:t>
            </w:r>
            <w:r>
              <w:rPr>
                <w:rFonts w:hint="eastAsia"/>
                <w:kern w:val="0"/>
                <w:sz w:val="24"/>
              </w:rPr>
              <w:t>属于《国民经济行业分类标准》（2019年修订本）中</w:t>
            </w:r>
            <w:r>
              <w:rPr>
                <w:rFonts w:hint="eastAsia"/>
                <w:bCs/>
                <w:sz w:val="24"/>
                <w:szCs w:val="22"/>
              </w:rPr>
              <w:t>C1499 其他未列明食品制造、C2926塑料包装箱及容器制造</w:t>
            </w:r>
            <w:r>
              <w:rPr>
                <w:rFonts w:hint="eastAsia"/>
                <w:kern w:val="0"/>
                <w:sz w:val="24"/>
              </w:rPr>
              <w:t>。根据《建设项目环境影响评价分类管理名录》（2021年版）规定，本项目类别属于“</w:t>
            </w:r>
            <w:r>
              <w:rPr>
                <w:rFonts w:hint="eastAsia"/>
                <w:sz w:val="24"/>
              </w:rPr>
              <w:t>十一、食品制造业 24其他食品制造中  盐加工；营养食品制造、保健 食品制造、冷冻饮品及食用冰 制造、无发酵工艺的食品及饲料添加剂制造、其他未列明食品制造”，应编制报告表；也属于“二十六、橡胶和塑料制品业 53 塑料制品业中 其他（年用非溶剂型低VOCs含 量涂料10吨以下的除外）”应编制报告表</w:t>
            </w:r>
            <w:r>
              <w:rPr>
                <w:rFonts w:hint="eastAsia"/>
                <w:kern w:val="0"/>
                <w:sz w:val="24"/>
              </w:rPr>
              <w:t>，故本项目须编制环境影响报告表。受</w:t>
            </w:r>
            <w:r>
              <w:rPr>
                <w:rFonts w:hint="eastAsia"/>
                <w:sz w:val="24"/>
              </w:rPr>
              <w:t>波力食品工业（滁州）有限公司</w:t>
            </w:r>
            <w:r>
              <w:rPr>
                <w:rFonts w:hint="eastAsia"/>
                <w:kern w:val="0"/>
                <w:sz w:val="24"/>
              </w:rPr>
              <w:t>委托，江苏绿源工程设计研究有限公司承担了</w:t>
            </w:r>
            <w:r>
              <w:rPr>
                <w:rFonts w:hint="eastAsia"/>
                <w:sz w:val="24"/>
              </w:rPr>
              <w:t>水产加工品（干制水产品）生产、塑料制品生产加工项目</w:t>
            </w:r>
            <w:r>
              <w:rPr>
                <w:rFonts w:hint="eastAsia"/>
                <w:kern w:val="0"/>
                <w:sz w:val="24"/>
              </w:rPr>
              <w:t>的环境影响评价工作。接受委托后，我公司工作人员经过现场勘察及工程分析，编制环境影响报告表</w:t>
            </w:r>
            <w:r>
              <w:rPr>
                <w:sz w:val="24"/>
              </w:rPr>
              <w:t>。</w:t>
            </w:r>
          </w:p>
          <w:p>
            <w:pPr>
              <w:snapToGrid w:val="0"/>
              <w:spacing w:line="360" w:lineRule="auto"/>
              <w:ind w:firstLine="482" w:firstLineChars="200"/>
              <w:jc w:val="left"/>
              <w:rPr>
                <w:b/>
                <w:bCs/>
                <w:sz w:val="24"/>
              </w:rPr>
            </w:pPr>
            <w:r>
              <w:rPr>
                <w:rFonts w:hint="eastAsia"/>
                <w:b/>
                <w:bCs/>
                <w:sz w:val="24"/>
              </w:rPr>
              <w:t>2</w:t>
            </w:r>
            <w:r>
              <w:rPr>
                <w:b/>
                <w:bCs/>
                <w:sz w:val="24"/>
              </w:rPr>
              <w:t>、工程概况</w:t>
            </w:r>
          </w:p>
          <w:p>
            <w:pPr>
              <w:snapToGrid w:val="0"/>
              <w:spacing w:line="360" w:lineRule="auto"/>
              <w:ind w:firstLine="480" w:firstLineChars="200"/>
              <w:jc w:val="left"/>
              <w:rPr>
                <w:sz w:val="24"/>
              </w:rPr>
            </w:pPr>
            <w:r>
              <w:rPr>
                <w:rFonts w:hint="eastAsia" w:ascii="宋体" w:hAnsi="宋体" w:cs="宋体"/>
                <w:sz w:val="24"/>
              </w:rPr>
              <w:t>①</w:t>
            </w:r>
            <w:r>
              <w:rPr>
                <w:sz w:val="24"/>
              </w:rPr>
              <w:t>建设单位：</w:t>
            </w:r>
            <w:r>
              <w:rPr>
                <w:rFonts w:hint="eastAsia"/>
                <w:sz w:val="24"/>
              </w:rPr>
              <w:t>波力食品工业（滁州）有限公司</w:t>
            </w:r>
          </w:p>
          <w:p>
            <w:pPr>
              <w:snapToGrid w:val="0"/>
              <w:spacing w:line="360" w:lineRule="auto"/>
              <w:ind w:firstLine="480" w:firstLineChars="200"/>
              <w:jc w:val="left"/>
              <w:rPr>
                <w:sz w:val="24"/>
              </w:rPr>
            </w:pPr>
            <w:r>
              <w:rPr>
                <w:rFonts w:hint="eastAsia" w:ascii="宋体" w:hAnsi="宋体" w:cs="宋体"/>
                <w:sz w:val="24"/>
              </w:rPr>
              <w:t>②</w:t>
            </w:r>
            <w:r>
              <w:rPr>
                <w:sz w:val="24"/>
              </w:rPr>
              <w:t>建设项目：</w:t>
            </w:r>
            <w:r>
              <w:rPr>
                <w:rFonts w:hint="eastAsia"/>
                <w:sz w:val="24"/>
              </w:rPr>
              <w:t>水产加工品（干制水产品）生产、塑料制品生产加工项目</w:t>
            </w:r>
          </w:p>
          <w:p>
            <w:pPr>
              <w:snapToGrid w:val="0"/>
              <w:spacing w:line="360" w:lineRule="auto"/>
              <w:ind w:firstLine="480" w:firstLineChars="200"/>
              <w:jc w:val="left"/>
              <w:rPr>
                <w:sz w:val="24"/>
              </w:rPr>
            </w:pPr>
            <w:r>
              <w:rPr>
                <w:rFonts w:hint="eastAsia" w:ascii="宋体" w:hAnsi="宋体" w:cs="宋体"/>
                <w:sz w:val="24"/>
              </w:rPr>
              <w:t>③</w:t>
            </w:r>
            <w:r>
              <w:rPr>
                <w:sz w:val="24"/>
              </w:rPr>
              <w:t>建设性质：</w:t>
            </w:r>
            <w:r>
              <w:rPr>
                <w:rFonts w:hint="eastAsia"/>
                <w:sz w:val="24"/>
              </w:rPr>
              <w:t>扩</w:t>
            </w:r>
            <w:r>
              <w:rPr>
                <w:sz w:val="24"/>
              </w:rPr>
              <w:t>建</w:t>
            </w:r>
          </w:p>
          <w:p>
            <w:pPr>
              <w:snapToGrid w:val="0"/>
              <w:spacing w:line="360" w:lineRule="auto"/>
              <w:ind w:firstLine="480" w:firstLineChars="200"/>
              <w:jc w:val="left"/>
              <w:rPr>
                <w:sz w:val="24"/>
              </w:rPr>
            </w:pPr>
            <w:r>
              <w:rPr>
                <w:rFonts w:hint="eastAsia" w:ascii="宋体" w:hAnsi="宋体" w:cs="宋体"/>
                <w:sz w:val="24"/>
              </w:rPr>
              <w:t>④</w:t>
            </w:r>
            <w:r>
              <w:rPr>
                <w:sz w:val="24"/>
              </w:rPr>
              <w:t>行业类别及代码：</w:t>
            </w:r>
            <w:r>
              <w:rPr>
                <w:rFonts w:hint="eastAsia"/>
                <w:bCs/>
                <w:sz w:val="24"/>
                <w:szCs w:val="22"/>
              </w:rPr>
              <w:t>C1499 其他未列明食品制造；C2926塑料包装箱及容器制造</w:t>
            </w:r>
          </w:p>
          <w:p>
            <w:pPr>
              <w:snapToGrid w:val="0"/>
              <w:spacing w:line="360" w:lineRule="auto"/>
              <w:ind w:firstLine="480" w:firstLineChars="200"/>
              <w:jc w:val="left"/>
              <w:rPr>
                <w:sz w:val="24"/>
              </w:rPr>
            </w:pPr>
            <w:r>
              <w:rPr>
                <w:rFonts w:hint="eastAsia" w:ascii="宋体" w:hAnsi="宋体" w:cs="宋体"/>
                <w:sz w:val="24"/>
              </w:rPr>
              <w:t>⑤</w:t>
            </w:r>
            <w:r>
              <w:rPr>
                <w:sz w:val="24"/>
              </w:rPr>
              <w:t>总投资：本项目总投资</w:t>
            </w:r>
            <w:r>
              <w:rPr>
                <w:rFonts w:hint="eastAsia"/>
                <w:sz w:val="24"/>
              </w:rPr>
              <w:t>5000</w:t>
            </w:r>
            <w:r>
              <w:rPr>
                <w:sz w:val="24"/>
              </w:rPr>
              <w:t xml:space="preserve"> 万元，其中环保投资</w:t>
            </w:r>
            <w:r>
              <w:rPr>
                <w:rFonts w:hint="eastAsia"/>
                <w:sz w:val="24"/>
              </w:rPr>
              <w:t>40</w:t>
            </w:r>
            <w:r>
              <w:rPr>
                <w:sz w:val="24"/>
              </w:rPr>
              <w:t>万元。</w:t>
            </w:r>
          </w:p>
          <w:p>
            <w:pPr>
              <w:snapToGrid w:val="0"/>
              <w:spacing w:line="360" w:lineRule="auto"/>
              <w:ind w:firstLine="480" w:firstLineChars="200"/>
              <w:jc w:val="left"/>
              <w:rPr>
                <w:sz w:val="24"/>
              </w:rPr>
            </w:pPr>
            <w:r>
              <w:rPr>
                <w:rFonts w:hint="eastAsia" w:ascii="宋体" w:hAnsi="宋体" w:cs="宋体"/>
                <w:sz w:val="24"/>
              </w:rPr>
              <w:t>⑥</w:t>
            </w:r>
            <w:r>
              <w:rPr>
                <w:sz w:val="24"/>
              </w:rPr>
              <w:t>建设地点：</w:t>
            </w:r>
            <w:r>
              <w:rPr>
                <w:rFonts w:hint="eastAsia" w:hAnsi="宋体"/>
                <w:sz w:val="24"/>
              </w:rPr>
              <w:t>滁州市苏滁产业园常州南路611号</w:t>
            </w:r>
            <w:r>
              <w:rPr>
                <w:sz w:val="24"/>
              </w:rPr>
              <w:t>（东经：</w:t>
            </w:r>
            <w:r>
              <w:rPr>
                <w:rFonts w:hint="eastAsia"/>
                <w:sz w:val="24"/>
              </w:rPr>
              <w:t>118.391595</w:t>
            </w:r>
            <w:r>
              <w:rPr>
                <w:sz w:val="24"/>
              </w:rPr>
              <w:t>，北纬：</w:t>
            </w:r>
            <w:r>
              <w:rPr>
                <w:rFonts w:hint="eastAsia"/>
                <w:sz w:val="24"/>
              </w:rPr>
              <w:t>32.296929</w:t>
            </w:r>
            <w:r>
              <w:rPr>
                <w:sz w:val="24"/>
              </w:rPr>
              <w:t>）详见附图 1 地理位置图。</w:t>
            </w:r>
          </w:p>
          <w:p>
            <w:pPr>
              <w:snapToGrid w:val="0"/>
              <w:spacing w:line="360" w:lineRule="auto"/>
              <w:ind w:firstLine="482" w:firstLineChars="200"/>
              <w:rPr>
                <w:b/>
                <w:bCs/>
                <w:sz w:val="24"/>
              </w:rPr>
            </w:pPr>
            <w:r>
              <w:rPr>
                <w:rFonts w:hint="eastAsia"/>
                <w:b/>
                <w:bCs/>
                <w:sz w:val="24"/>
              </w:rPr>
              <w:t>3</w:t>
            </w:r>
            <w:r>
              <w:rPr>
                <w:b/>
                <w:bCs/>
                <w:sz w:val="24"/>
              </w:rPr>
              <w:t>、项目产品方案</w:t>
            </w:r>
          </w:p>
          <w:p>
            <w:pPr>
              <w:snapToGrid w:val="0"/>
              <w:spacing w:line="360" w:lineRule="auto"/>
              <w:ind w:firstLine="482" w:firstLineChars="200"/>
              <w:jc w:val="center"/>
              <w:rPr>
                <w:rFonts w:hint="default" w:eastAsia="宋体"/>
                <w:b w:val="0"/>
                <w:bCs w:val="0"/>
                <w:sz w:val="24"/>
                <w:lang w:val="en-US" w:eastAsia="zh-CN"/>
              </w:rPr>
            </w:pPr>
            <w:r>
              <w:rPr>
                <w:b/>
                <w:bCs/>
                <w:sz w:val="24"/>
              </w:rPr>
              <w:t xml:space="preserve">表 </w:t>
            </w:r>
            <w:r>
              <w:rPr>
                <w:rFonts w:hint="eastAsia"/>
                <w:b/>
                <w:bCs/>
                <w:sz w:val="24"/>
              </w:rPr>
              <w:t xml:space="preserve">2-1  </w:t>
            </w:r>
            <w:r>
              <w:rPr>
                <w:b/>
                <w:bCs/>
                <w:sz w:val="24"/>
              </w:rPr>
              <w:t>项目主要产品方案一览表</w:t>
            </w:r>
            <w:r>
              <w:rPr>
                <w:rFonts w:hint="eastAsia"/>
                <w:b/>
                <w:bCs/>
                <w:sz w:val="24"/>
                <w:lang w:val="en-US" w:eastAsia="zh-CN"/>
              </w:rPr>
              <w:t xml:space="preserve">    </w:t>
            </w:r>
            <w:r>
              <w:rPr>
                <w:rFonts w:hint="eastAsia"/>
                <w:b w:val="0"/>
                <w:bCs w:val="0"/>
                <w:sz w:val="24"/>
                <w:lang w:val="en-US" w:eastAsia="zh-CN"/>
              </w:rPr>
              <w:t>单位：t/a</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659"/>
              <w:gridCol w:w="1156"/>
              <w:gridCol w:w="1230"/>
              <w:gridCol w:w="1373"/>
              <w:gridCol w:w="1373"/>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23" w:type="dxa"/>
                  <w:vMerge w:val="restart"/>
                  <w:tcBorders>
                    <w:top w:val="single" w:color="auto" w:sz="4" w:space="0"/>
                    <w:left w:val="single" w:color="auto" w:sz="4" w:space="0"/>
                    <w:right w:val="single" w:color="auto" w:sz="4" w:space="0"/>
                  </w:tcBorders>
                  <w:vAlign w:val="center"/>
                </w:tcPr>
                <w:p>
                  <w:pPr>
                    <w:jc w:val="center"/>
                    <w:rPr>
                      <w:b/>
                      <w:szCs w:val="21"/>
                    </w:rPr>
                  </w:pPr>
                  <w:r>
                    <w:rPr>
                      <w:rFonts w:hAnsi="宋体"/>
                      <w:b/>
                      <w:szCs w:val="21"/>
                    </w:rPr>
                    <w:t>序号</w:t>
                  </w:r>
                </w:p>
              </w:tc>
              <w:tc>
                <w:tcPr>
                  <w:tcW w:w="1815" w:type="dxa"/>
                  <w:gridSpan w:val="2"/>
                  <w:vMerge w:val="restart"/>
                  <w:tcBorders>
                    <w:top w:val="single" w:color="auto" w:sz="4" w:space="0"/>
                    <w:left w:val="single" w:color="auto" w:sz="4" w:space="0"/>
                    <w:right w:val="single" w:color="auto" w:sz="4" w:space="0"/>
                  </w:tcBorders>
                  <w:vAlign w:val="center"/>
                </w:tcPr>
                <w:p>
                  <w:pPr>
                    <w:jc w:val="center"/>
                    <w:rPr>
                      <w:b/>
                      <w:szCs w:val="21"/>
                    </w:rPr>
                  </w:pPr>
                  <w:r>
                    <w:rPr>
                      <w:rFonts w:hAnsi="宋体"/>
                      <w:b/>
                      <w:szCs w:val="21"/>
                    </w:rPr>
                    <w:t>产品名称</w:t>
                  </w:r>
                </w:p>
              </w:tc>
              <w:tc>
                <w:tcPr>
                  <w:tcW w:w="3976" w:type="dxa"/>
                  <w:gridSpan w:val="3"/>
                  <w:tcBorders>
                    <w:top w:val="single" w:color="auto" w:sz="4" w:space="0"/>
                    <w:left w:val="single" w:color="auto" w:sz="4" w:space="0"/>
                    <w:right w:val="single" w:color="auto" w:sz="4" w:space="0"/>
                  </w:tcBorders>
                  <w:vAlign w:val="center"/>
                </w:tcPr>
                <w:p>
                  <w:pPr>
                    <w:jc w:val="center"/>
                    <w:rPr>
                      <w:b/>
                      <w:szCs w:val="21"/>
                    </w:rPr>
                  </w:pPr>
                  <w:r>
                    <w:rPr>
                      <w:rFonts w:hAnsi="宋体"/>
                      <w:b/>
                      <w:szCs w:val="21"/>
                    </w:rPr>
                    <w:t>产能</w:t>
                  </w:r>
                </w:p>
              </w:tc>
              <w:tc>
                <w:tcPr>
                  <w:tcW w:w="1424" w:type="dxa"/>
                  <w:vMerge w:val="restart"/>
                  <w:tcBorders>
                    <w:top w:val="single" w:color="auto" w:sz="4" w:space="0"/>
                    <w:left w:val="single" w:color="auto" w:sz="4" w:space="0"/>
                    <w:right w:val="single" w:color="auto" w:sz="4" w:space="0"/>
                  </w:tcBorders>
                  <w:vAlign w:val="center"/>
                </w:tcPr>
                <w:p>
                  <w:pPr>
                    <w:jc w:val="center"/>
                    <w:rPr>
                      <w:b/>
                      <w:szCs w:val="21"/>
                    </w:rPr>
                  </w:pPr>
                  <w:r>
                    <w:rPr>
                      <w:rFonts w:hAnsi="宋体"/>
                      <w:b/>
                      <w:szCs w:val="21"/>
                    </w:rPr>
                    <w:t>年运行天时数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23" w:type="dxa"/>
                  <w:vMerge w:val="continue"/>
                  <w:tcBorders>
                    <w:left w:val="single" w:color="auto" w:sz="4" w:space="0"/>
                    <w:right w:val="single" w:color="auto" w:sz="4" w:space="0"/>
                  </w:tcBorders>
                  <w:vAlign w:val="center"/>
                </w:tcPr>
                <w:p>
                  <w:pPr>
                    <w:jc w:val="center"/>
                    <w:rPr>
                      <w:b/>
                      <w:szCs w:val="21"/>
                    </w:rPr>
                  </w:pPr>
                </w:p>
              </w:tc>
              <w:tc>
                <w:tcPr>
                  <w:tcW w:w="1815" w:type="dxa"/>
                  <w:gridSpan w:val="2"/>
                  <w:vMerge w:val="continue"/>
                  <w:tcBorders>
                    <w:left w:val="single" w:color="auto" w:sz="4" w:space="0"/>
                    <w:right w:val="single" w:color="auto" w:sz="4" w:space="0"/>
                  </w:tcBorders>
                  <w:vAlign w:val="center"/>
                </w:tcPr>
                <w:p>
                  <w:pPr>
                    <w:jc w:val="center"/>
                    <w:rPr>
                      <w:b/>
                      <w:szCs w:val="21"/>
                    </w:rPr>
                  </w:pPr>
                </w:p>
              </w:tc>
              <w:tc>
                <w:tcPr>
                  <w:tcW w:w="1230" w:type="dxa"/>
                  <w:tcBorders>
                    <w:top w:val="single" w:color="auto" w:sz="4" w:space="0"/>
                    <w:left w:val="single" w:color="auto" w:sz="4" w:space="0"/>
                    <w:right w:val="single" w:color="auto" w:sz="4" w:space="0"/>
                  </w:tcBorders>
                  <w:vAlign w:val="center"/>
                </w:tcPr>
                <w:p>
                  <w:pPr>
                    <w:jc w:val="center"/>
                    <w:rPr>
                      <w:b/>
                      <w:szCs w:val="21"/>
                    </w:rPr>
                  </w:pPr>
                  <w:r>
                    <w:rPr>
                      <w:rFonts w:hAnsi="宋体"/>
                      <w:b/>
                      <w:szCs w:val="21"/>
                    </w:rPr>
                    <w:t>扩建前</w:t>
                  </w:r>
                </w:p>
              </w:tc>
              <w:tc>
                <w:tcPr>
                  <w:tcW w:w="1373" w:type="dxa"/>
                  <w:tcBorders>
                    <w:top w:val="single" w:color="auto" w:sz="4" w:space="0"/>
                    <w:left w:val="single" w:color="auto" w:sz="4" w:space="0"/>
                    <w:right w:val="single" w:color="auto" w:sz="4" w:space="0"/>
                  </w:tcBorders>
                  <w:vAlign w:val="center"/>
                </w:tcPr>
                <w:p>
                  <w:pPr>
                    <w:jc w:val="center"/>
                    <w:rPr>
                      <w:b/>
                      <w:szCs w:val="21"/>
                    </w:rPr>
                  </w:pPr>
                  <w:r>
                    <w:rPr>
                      <w:rFonts w:hAnsi="宋体"/>
                      <w:b/>
                      <w:szCs w:val="21"/>
                    </w:rPr>
                    <w:t>扩建</w:t>
                  </w:r>
                </w:p>
              </w:tc>
              <w:tc>
                <w:tcPr>
                  <w:tcW w:w="1373" w:type="dxa"/>
                  <w:tcBorders>
                    <w:top w:val="single" w:color="auto" w:sz="4" w:space="0"/>
                    <w:left w:val="single" w:color="auto" w:sz="4" w:space="0"/>
                    <w:right w:val="single" w:color="auto" w:sz="4" w:space="0"/>
                  </w:tcBorders>
                  <w:vAlign w:val="center"/>
                </w:tcPr>
                <w:p>
                  <w:pPr>
                    <w:jc w:val="center"/>
                    <w:rPr>
                      <w:b/>
                      <w:szCs w:val="21"/>
                    </w:rPr>
                  </w:pPr>
                  <w:r>
                    <w:rPr>
                      <w:rFonts w:hAnsi="宋体"/>
                      <w:b/>
                      <w:szCs w:val="21"/>
                    </w:rPr>
                    <w:t>扩建后</w:t>
                  </w:r>
                </w:p>
              </w:tc>
              <w:tc>
                <w:tcPr>
                  <w:tcW w:w="1424" w:type="dxa"/>
                  <w:vMerge w:val="continue"/>
                  <w:tcBorders>
                    <w:left w:val="single" w:color="auto" w:sz="4" w:space="0"/>
                    <w:right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原味海苔</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900</w:t>
                  </w:r>
                </w:p>
              </w:tc>
              <w:tc>
                <w:tcPr>
                  <w:tcW w:w="13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600</w:t>
                  </w:r>
                </w:p>
              </w:tc>
              <w:tc>
                <w:tcPr>
                  <w:tcW w:w="13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1500</w:t>
                  </w:r>
                </w:p>
              </w:tc>
              <w:tc>
                <w:tcPr>
                  <w:tcW w:w="1424" w:type="dxa"/>
                  <w:vMerge w:val="restart"/>
                  <w:tcBorders>
                    <w:top w:val="single" w:color="auto" w:sz="4" w:space="0"/>
                    <w:left w:val="single" w:color="auto" w:sz="4" w:space="0"/>
                    <w:right w:val="single" w:color="auto" w:sz="4" w:space="0"/>
                  </w:tcBorders>
                  <w:vAlign w:val="center"/>
                </w:tcPr>
                <w:p>
                  <w:pPr>
                    <w:jc w:val="center"/>
                    <w:rPr>
                      <w:szCs w:val="21"/>
                    </w:rPr>
                  </w:pPr>
                  <w:r>
                    <w:rPr>
                      <w:szCs w:val="21"/>
                    </w:rPr>
                    <w:t>300d</w:t>
                  </w:r>
                  <w:r>
                    <w:rPr>
                      <w:rFonts w:hAnsi="宋体"/>
                      <w:szCs w:val="21"/>
                    </w:rPr>
                    <w:t>，</w:t>
                  </w:r>
                  <w:r>
                    <w:rPr>
                      <w:rFonts w:hint="eastAsia"/>
                      <w:szCs w:val="21"/>
                    </w:rPr>
                    <w:t>30</w:t>
                  </w:r>
                  <w:r>
                    <w:rPr>
                      <w:szCs w:val="21"/>
                    </w:rPr>
                    <w:t>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夹心海苔</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0</w:t>
                  </w:r>
                </w:p>
              </w:tc>
              <w:tc>
                <w:tcPr>
                  <w:tcW w:w="13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2000</w:t>
                  </w:r>
                </w:p>
              </w:tc>
              <w:tc>
                <w:tcPr>
                  <w:tcW w:w="13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2000</w:t>
                  </w:r>
                </w:p>
              </w:tc>
              <w:tc>
                <w:tcPr>
                  <w:tcW w:w="1424"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饼干</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7000</w:t>
                  </w:r>
                </w:p>
              </w:tc>
              <w:tc>
                <w:tcPr>
                  <w:tcW w:w="13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0</w:t>
                  </w:r>
                </w:p>
              </w:tc>
              <w:tc>
                <w:tcPr>
                  <w:tcW w:w="13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7000</w:t>
                  </w:r>
                </w:p>
              </w:tc>
              <w:tc>
                <w:tcPr>
                  <w:tcW w:w="1424"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w:t>
                  </w:r>
                </w:p>
              </w:tc>
              <w:tc>
                <w:tcPr>
                  <w:tcW w:w="659"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塑料包装制品</w:t>
                  </w:r>
                </w:p>
              </w:tc>
              <w:tc>
                <w:tcPr>
                  <w:tcW w:w="1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胶盒</w:t>
                  </w:r>
                </w:p>
              </w:tc>
              <w:tc>
                <w:tcPr>
                  <w:tcW w:w="1230" w:type="dxa"/>
                  <w:vMerge w:val="restart"/>
                  <w:tcBorders>
                    <w:top w:val="single" w:color="auto" w:sz="4" w:space="0"/>
                    <w:left w:val="single" w:color="auto" w:sz="4" w:space="0"/>
                    <w:right w:val="single" w:color="auto" w:sz="4" w:space="0"/>
                  </w:tcBorders>
                  <w:vAlign w:val="center"/>
                </w:tcPr>
                <w:p>
                  <w:pPr>
                    <w:spacing w:line="280" w:lineRule="exact"/>
                    <w:jc w:val="center"/>
                    <w:rPr>
                      <w:szCs w:val="21"/>
                    </w:rPr>
                  </w:pPr>
                  <w:r>
                    <w:rPr>
                      <w:rFonts w:hint="eastAsia"/>
                      <w:szCs w:val="21"/>
                    </w:rPr>
                    <w:t>0</w:t>
                  </w:r>
                </w:p>
              </w:tc>
              <w:tc>
                <w:tcPr>
                  <w:tcW w:w="13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1400</w:t>
                  </w:r>
                </w:p>
              </w:tc>
              <w:tc>
                <w:tcPr>
                  <w:tcW w:w="1373" w:type="dxa"/>
                  <w:vMerge w:val="restart"/>
                  <w:tcBorders>
                    <w:top w:val="single" w:color="auto" w:sz="4" w:space="0"/>
                    <w:left w:val="single" w:color="auto" w:sz="4" w:space="0"/>
                    <w:right w:val="single" w:color="auto" w:sz="4" w:space="0"/>
                  </w:tcBorders>
                  <w:vAlign w:val="center"/>
                </w:tcPr>
                <w:p>
                  <w:pPr>
                    <w:spacing w:line="280" w:lineRule="exact"/>
                    <w:jc w:val="center"/>
                    <w:rPr>
                      <w:szCs w:val="21"/>
                    </w:rPr>
                  </w:pPr>
                  <w:r>
                    <w:rPr>
                      <w:rFonts w:hint="eastAsia"/>
                      <w:szCs w:val="21"/>
                    </w:rPr>
                    <w:t>2500</w:t>
                  </w:r>
                </w:p>
              </w:tc>
              <w:tc>
                <w:tcPr>
                  <w:tcW w:w="1424"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w:t>
                  </w:r>
                </w:p>
              </w:tc>
              <w:tc>
                <w:tcPr>
                  <w:tcW w:w="659" w:type="dxa"/>
                  <w:vMerge w:val="continue"/>
                  <w:tcBorders>
                    <w:left w:val="single" w:color="auto" w:sz="4" w:space="0"/>
                    <w:right w:val="single" w:color="auto" w:sz="4" w:space="0"/>
                  </w:tcBorders>
                  <w:vAlign w:val="center"/>
                </w:tcPr>
                <w:p>
                  <w:pPr>
                    <w:jc w:val="center"/>
                    <w:rPr>
                      <w:szCs w:val="21"/>
                    </w:rPr>
                  </w:pPr>
                </w:p>
              </w:tc>
              <w:tc>
                <w:tcPr>
                  <w:tcW w:w="1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瓶盖</w:t>
                  </w:r>
                </w:p>
              </w:tc>
              <w:tc>
                <w:tcPr>
                  <w:tcW w:w="1230" w:type="dxa"/>
                  <w:vMerge w:val="continue"/>
                  <w:tcBorders>
                    <w:left w:val="single" w:color="auto" w:sz="4" w:space="0"/>
                    <w:right w:val="single" w:color="auto" w:sz="4" w:space="0"/>
                  </w:tcBorders>
                  <w:vAlign w:val="center"/>
                </w:tcPr>
                <w:p>
                  <w:pPr>
                    <w:spacing w:line="280" w:lineRule="exact"/>
                    <w:jc w:val="center"/>
                    <w:rPr>
                      <w:szCs w:val="21"/>
                    </w:rPr>
                  </w:pPr>
                </w:p>
              </w:tc>
              <w:tc>
                <w:tcPr>
                  <w:tcW w:w="13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highlight w:val="none"/>
                    </w:rPr>
                  </w:pPr>
                  <w:r>
                    <w:rPr>
                      <w:rFonts w:hint="eastAsia"/>
                      <w:szCs w:val="21"/>
                      <w:highlight w:val="none"/>
                    </w:rPr>
                    <w:t>200</w:t>
                  </w:r>
                </w:p>
              </w:tc>
              <w:tc>
                <w:tcPr>
                  <w:tcW w:w="1373" w:type="dxa"/>
                  <w:vMerge w:val="continue"/>
                  <w:tcBorders>
                    <w:left w:val="single" w:color="auto" w:sz="4" w:space="0"/>
                    <w:right w:val="single" w:color="auto" w:sz="4" w:space="0"/>
                  </w:tcBorders>
                  <w:vAlign w:val="center"/>
                </w:tcPr>
                <w:p>
                  <w:pPr>
                    <w:spacing w:line="280" w:lineRule="exact"/>
                    <w:jc w:val="center"/>
                    <w:rPr>
                      <w:szCs w:val="21"/>
                    </w:rPr>
                  </w:pPr>
                </w:p>
              </w:tc>
              <w:tc>
                <w:tcPr>
                  <w:tcW w:w="1424"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w:t>
                  </w:r>
                </w:p>
              </w:tc>
              <w:tc>
                <w:tcPr>
                  <w:tcW w:w="659"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1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瓶</w:t>
                  </w:r>
                </w:p>
              </w:tc>
              <w:tc>
                <w:tcPr>
                  <w:tcW w:w="1230" w:type="dxa"/>
                  <w:vMerge w:val="continue"/>
                  <w:tcBorders>
                    <w:left w:val="single" w:color="auto" w:sz="4" w:space="0"/>
                    <w:right w:val="single" w:color="auto" w:sz="4" w:space="0"/>
                  </w:tcBorders>
                  <w:vAlign w:val="center"/>
                </w:tcPr>
                <w:p>
                  <w:pPr>
                    <w:spacing w:line="280" w:lineRule="exact"/>
                    <w:jc w:val="center"/>
                    <w:rPr>
                      <w:szCs w:val="21"/>
                    </w:rPr>
                  </w:pPr>
                </w:p>
              </w:tc>
              <w:tc>
                <w:tcPr>
                  <w:tcW w:w="1373" w:type="dxa"/>
                  <w:tcBorders>
                    <w:top w:val="single" w:color="auto" w:sz="4" w:space="0"/>
                    <w:left w:val="single" w:color="auto" w:sz="4" w:space="0"/>
                    <w:right w:val="single" w:color="auto" w:sz="4" w:space="0"/>
                  </w:tcBorders>
                  <w:vAlign w:val="center"/>
                </w:tcPr>
                <w:p>
                  <w:pPr>
                    <w:spacing w:line="280" w:lineRule="exact"/>
                    <w:jc w:val="center"/>
                    <w:rPr>
                      <w:szCs w:val="21"/>
                      <w:highlight w:val="none"/>
                    </w:rPr>
                  </w:pPr>
                  <w:r>
                    <w:rPr>
                      <w:rFonts w:hint="eastAsia"/>
                      <w:szCs w:val="21"/>
                      <w:highlight w:val="none"/>
                    </w:rPr>
                    <w:t>900</w:t>
                  </w:r>
                </w:p>
              </w:tc>
              <w:tc>
                <w:tcPr>
                  <w:tcW w:w="1373" w:type="dxa"/>
                  <w:vMerge w:val="continue"/>
                  <w:tcBorders>
                    <w:left w:val="single" w:color="auto" w:sz="4" w:space="0"/>
                    <w:right w:val="single" w:color="auto" w:sz="4" w:space="0"/>
                  </w:tcBorders>
                  <w:vAlign w:val="center"/>
                </w:tcPr>
                <w:p>
                  <w:pPr>
                    <w:spacing w:line="280" w:lineRule="exact"/>
                    <w:jc w:val="center"/>
                    <w:rPr>
                      <w:szCs w:val="21"/>
                    </w:rPr>
                  </w:pPr>
                </w:p>
              </w:tc>
              <w:tc>
                <w:tcPr>
                  <w:tcW w:w="1424" w:type="dxa"/>
                  <w:vMerge w:val="continue"/>
                  <w:tcBorders>
                    <w:left w:val="single" w:color="auto" w:sz="4" w:space="0"/>
                    <w:right w:val="single" w:color="auto" w:sz="4" w:space="0"/>
                  </w:tcBorders>
                  <w:vAlign w:val="center"/>
                </w:tcPr>
                <w:p>
                  <w:pPr>
                    <w:jc w:val="center"/>
                    <w:rPr>
                      <w:szCs w:val="21"/>
                    </w:rPr>
                  </w:pPr>
                </w:p>
              </w:tc>
            </w:tr>
          </w:tbl>
          <w:p>
            <w:pPr>
              <w:snapToGrid w:val="0"/>
              <w:spacing w:line="520" w:lineRule="exact"/>
              <w:rPr>
                <w:b/>
                <w:bCs/>
                <w:szCs w:val="21"/>
              </w:rPr>
            </w:pPr>
            <w:r>
              <w:rPr>
                <w:rFonts w:hint="eastAsia"/>
                <w:b/>
                <w:bCs/>
                <w:szCs w:val="21"/>
              </w:rPr>
              <w:t>备注：包装尺寸具体根据客户需求制作。</w:t>
            </w:r>
          </w:p>
          <w:p>
            <w:pPr>
              <w:snapToGrid w:val="0"/>
              <w:spacing w:line="520" w:lineRule="exact"/>
              <w:ind w:firstLine="480" w:firstLineChars="200"/>
              <w:rPr>
                <w:bCs/>
                <w:sz w:val="24"/>
              </w:rPr>
            </w:pPr>
            <w:r>
              <w:rPr>
                <w:rFonts w:hint="eastAsia"/>
                <w:bCs/>
                <w:sz w:val="24"/>
              </w:rPr>
              <w:t>产品卫生指标及标准详见下表。</w:t>
            </w:r>
          </w:p>
          <w:p>
            <w:pPr>
              <w:snapToGrid w:val="0"/>
              <w:spacing w:line="520" w:lineRule="exact"/>
              <w:ind w:firstLine="482" w:firstLineChars="200"/>
              <w:jc w:val="center"/>
              <w:rPr>
                <w:b/>
                <w:bCs/>
                <w:sz w:val="24"/>
              </w:rPr>
            </w:pPr>
            <w:r>
              <w:rPr>
                <w:rFonts w:hint="eastAsia"/>
                <w:b/>
                <w:bCs/>
                <w:sz w:val="24"/>
              </w:rPr>
              <w:t>表2-2  《食品国家标准 海苔》（GB/T 23596-2009）</w:t>
            </w:r>
          </w:p>
          <w:tbl>
            <w:tblPr>
              <w:tblStyle w:val="23"/>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693"/>
              <w:gridCol w:w="3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jc w:val="center"/>
              </w:trPr>
              <w:tc>
                <w:tcPr>
                  <w:tcW w:w="1263" w:type="dxa"/>
                  <w:vMerge w:val="restart"/>
                  <w:vAlign w:val="center"/>
                </w:tcPr>
                <w:p>
                  <w:pPr>
                    <w:snapToGrid w:val="0"/>
                    <w:jc w:val="center"/>
                    <w:rPr>
                      <w:b/>
                      <w:bCs/>
                      <w:szCs w:val="21"/>
                    </w:rPr>
                  </w:pPr>
                  <w:r>
                    <w:rPr>
                      <w:rFonts w:hint="eastAsia"/>
                      <w:b/>
                      <w:bCs/>
                      <w:szCs w:val="21"/>
                    </w:rPr>
                    <w:t>检测方法</w:t>
                  </w:r>
                </w:p>
              </w:tc>
              <w:tc>
                <w:tcPr>
                  <w:tcW w:w="2693" w:type="dxa"/>
                  <w:vAlign w:val="center"/>
                </w:tcPr>
                <w:p>
                  <w:pPr>
                    <w:snapToGrid w:val="0"/>
                    <w:jc w:val="center"/>
                    <w:rPr>
                      <w:b/>
                      <w:bCs/>
                      <w:szCs w:val="21"/>
                    </w:rPr>
                  </w:pPr>
                  <w:r>
                    <w:rPr>
                      <w:rFonts w:hint="eastAsia"/>
                      <w:b/>
                      <w:bCs/>
                      <w:szCs w:val="21"/>
                    </w:rPr>
                    <w:t>项目</w:t>
                  </w:r>
                </w:p>
              </w:tc>
              <w:tc>
                <w:tcPr>
                  <w:tcW w:w="3982" w:type="dxa"/>
                  <w:vAlign w:val="center"/>
                </w:tcPr>
                <w:p>
                  <w:pPr>
                    <w:snapToGrid w:val="0"/>
                    <w:jc w:val="center"/>
                    <w:rPr>
                      <w:b/>
                      <w:bCs/>
                      <w:szCs w:val="21"/>
                    </w:rPr>
                  </w:pPr>
                  <w:r>
                    <w:rPr>
                      <w:rFonts w:hint="eastAsia"/>
                      <w:b/>
                      <w:bCs/>
                      <w:szCs w:val="21"/>
                    </w:rPr>
                    <w:t>要求/指标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restart"/>
                  <w:vAlign w:val="center"/>
                </w:tcPr>
                <w:p>
                  <w:pPr>
                    <w:snapToGrid w:val="0"/>
                    <w:jc w:val="center"/>
                    <w:rPr>
                      <w:bCs/>
                      <w:szCs w:val="21"/>
                    </w:rPr>
                  </w:pPr>
                  <w:r>
                    <w:rPr>
                      <w:bCs/>
                      <w:szCs w:val="21"/>
                    </w:rPr>
                    <w:t>感官要求</w:t>
                  </w:r>
                </w:p>
              </w:tc>
              <w:tc>
                <w:tcPr>
                  <w:tcW w:w="2693" w:type="dxa"/>
                  <w:vAlign w:val="center"/>
                </w:tcPr>
                <w:p>
                  <w:pPr>
                    <w:snapToGrid w:val="0"/>
                    <w:jc w:val="center"/>
                    <w:rPr>
                      <w:bCs/>
                      <w:szCs w:val="21"/>
                    </w:rPr>
                  </w:pPr>
                  <w:r>
                    <w:rPr>
                      <w:rFonts w:hint="eastAsia"/>
                      <w:bCs/>
                      <w:szCs w:val="21"/>
                    </w:rPr>
                    <w:t>色泽</w:t>
                  </w:r>
                </w:p>
              </w:tc>
              <w:tc>
                <w:tcPr>
                  <w:tcW w:w="3982" w:type="dxa"/>
                  <w:vAlign w:val="center"/>
                </w:tcPr>
                <w:p>
                  <w:pPr>
                    <w:snapToGrid w:val="0"/>
                    <w:jc w:val="center"/>
                    <w:rPr>
                      <w:bCs/>
                      <w:szCs w:val="21"/>
                    </w:rPr>
                  </w:pPr>
                  <w:r>
                    <w:rPr>
                      <w:rFonts w:hint="eastAsia"/>
                      <w:bCs/>
                      <w:szCs w:val="21"/>
                    </w:rPr>
                    <w:t>具有品种应有的色泽；其中烤紫菜应呈绿色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3" w:type="dxa"/>
                  <w:vMerge w:val="continue"/>
                  <w:vAlign w:val="center"/>
                </w:tcPr>
                <w:p>
                  <w:pPr>
                    <w:snapToGrid w:val="0"/>
                    <w:jc w:val="center"/>
                    <w:rPr>
                      <w:bCs/>
                      <w:szCs w:val="21"/>
                    </w:rPr>
                  </w:pPr>
                </w:p>
              </w:tc>
              <w:tc>
                <w:tcPr>
                  <w:tcW w:w="2693" w:type="dxa"/>
                  <w:vAlign w:val="center"/>
                </w:tcPr>
                <w:p>
                  <w:pPr>
                    <w:snapToGrid w:val="0"/>
                    <w:jc w:val="center"/>
                    <w:rPr>
                      <w:bCs/>
                      <w:szCs w:val="21"/>
                    </w:rPr>
                  </w:pPr>
                  <w:r>
                    <w:rPr>
                      <w:rFonts w:hint="eastAsia"/>
                      <w:bCs/>
                      <w:szCs w:val="21"/>
                    </w:rPr>
                    <w:t>滋味和口感</w:t>
                  </w:r>
                </w:p>
              </w:tc>
              <w:tc>
                <w:tcPr>
                  <w:tcW w:w="3982" w:type="dxa"/>
                  <w:vAlign w:val="center"/>
                </w:tcPr>
                <w:p>
                  <w:pPr>
                    <w:snapToGrid w:val="0"/>
                    <w:jc w:val="center"/>
                    <w:rPr>
                      <w:bCs/>
                      <w:szCs w:val="21"/>
                    </w:rPr>
                  </w:pPr>
                  <w:r>
                    <w:rPr>
                      <w:rFonts w:hint="eastAsia"/>
                      <w:bCs/>
                      <w:szCs w:val="21"/>
                    </w:rPr>
                    <w:t>具有品种应有的香脆滋味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263" w:type="dxa"/>
                  <w:vMerge w:val="continue"/>
                  <w:vAlign w:val="center"/>
                </w:tcPr>
                <w:p>
                  <w:pPr>
                    <w:snapToGrid w:val="0"/>
                    <w:jc w:val="center"/>
                    <w:rPr>
                      <w:bCs/>
                      <w:szCs w:val="21"/>
                    </w:rPr>
                  </w:pPr>
                </w:p>
              </w:tc>
              <w:tc>
                <w:tcPr>
                  <w:tcW w:w="2693" w:type="dxa"/>
                  <w:vAlign w:val="center"/>
                </w:tcPr>
                <w:p>
                  <w:pPr>
                    <w:snapToGrid w:val="0"/>
                    <w:jc w:val="center"/>
                    <w:rPr>
                      <w:bCs/>
                      <w:szCs w:val="21"/>
                    </w:rPr>
                  </w:pPr>
                  <w:r>
                    <w:rPr>
                      <w:rFonts w:hint="eastAsia"/>
                      <w:bCs/>
                      <w:szCs w:val="21"/>
                    </w:rPr>
                    <w:t>杂质</w:t>
                  </w:r>
                </w:p>
              </w:tc>
              <w:tc>
                <w:tcPr>
                  <w:tcW w:w="3982" w:type="dxa"/>
                  <w:vAlign w:val="center"/>
                </w:tcPr>
                <w:p>
                  <w:pPr>
                    <w:snapToGrid w:val="0"/>
                    <w:jc w:val="center"/>
                    <w:rPr>
                      <w:bCs/>
                      <w:szCs w:val="21"/>
                    </w:rPr>
                  </w:pPr>
                  <w:r>
                    <w:rPr>
                      <w:rFonts w:hint="eastAsia"/>
                      <w:bCs/>
                      <w:szCs w:val="21"/>
                    </w:rPr>
                    <w:t>无正常视力可见的不可食用的外来异物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263" w:type="dxa"/>
                  <w:vAlign w:val="center"/>
                </w:tcPr>
                <w:p>
                  <w:pPr>
                    <w:snapToGrid w:val="0"/>
                    <w:jc w:val="center"/>
                    <w:rPr>
                      <w:bCs/>
                      <w:szCs w:val="21"/>
                    </w:rPr>
                  </w:pPr>
                  <w:r>
                    <w:rPr>
                      <w:bCs/>
                      <w:szCs w:val="21"/>
                    </w:rPr>
                    <w:t>理化</w:t>
                  </w:r>
                  <w:r>
                    <w:rPr>
                      <w:rFonts w:hint="eastAsia"/>
                      <w:bCs/>
                      <w:szCs w:val="21"/>
                    </w:rPr>
                    <w:t>指标</w:t>
                  </w:r>
                </w:p>
              </w:tc>
              <w:tc>
                <w:tcPr>
                  <w:tcW w:w="2693" w:type="dxa"/>
                  <w:vAlign w:val="center"/>
                </w:tcPr>
                <w:p>
                  <w:pPr>
                    <w:snapToGrid w:val="0"/>
                    <w:jc w:val="center"/>
                    <w:rPr>
                      <w:bCs/>
                      <w:szCs w:val="21"/>
                    </w:rPr>
                  </w:pPr>
                  <w:r>
                    <w:rPr>
                      <w:bCs/>
                      <w:szCs w:val="21"/>
                    </w:rPr>
                    <w:t>水份/%</w:t>
                  </w:r>
                </w:p>
              </w:tc>
              <w:tc>
                <w:tcPr>
                  <w:tcW w:w="3982" w:type="dxa"/>
                  <w:vAlign w:val="center"/>
                </w:tcPr>
                <w:p>
                  <w:pPr>
                    <w:snapToGrid w:val="0"/>
                    <w:jc w:val="center"/>
                    <w:rPr>
                      <w:bCs/>
                      <w:szCs w:val="21"/>
                    </w:rPr>
                  </w:pPr>
                  <w:r>
                    <w:rPr>
                      <w:bCs/>
                      <w:szCs w:val="21"/>
                    </w:rPr>
                    <w:t>≤</w:t>
                  </w:r>
                  <w:r>
                    <w:rPr>
                      <w:rFonts w:hint="eastAsia"/>
                      <w:bCs/>
                      <w:szCs w:val="21"/>
                    </w:rPr>
                    <w:t>5</w:t>
                  </w: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263" w:type="dxa"/>
                  <w:vMerge w:val="restart"/>
                  <w:vAlign w:val="center"/>
                </w:tcPr>
                <w:p>
                  <w:pPr>
                    <w:snapToGrid w:val="0"/>
                    <w:jc w:val="center"/>
                    <w:rPr>
                      <w:bCs/>
                      <w:szCs w:val="21"/>
                    </w:rPr>
                  </w:pPr>
                  <w:r>
                    <w:rPr>
                      <w:rFonts w:hint="eastAsia"/>
                      <w:bCs/>
                      <w:szCs w:val="21"/>
                    </w:rPr>
                    <w:t>污染物指标</w:t>
                  </w:r>
                </w:p>
              </w:tc>
              <w:tc>
                <w:tcPr>
                  <w:tcW w:w="2693" w:type="dxa"/>
                  <w:vAlign w:val="center"/>
                </w:tcPr>
                <w:p>
                  <w:pPr>
                    <w:snapToGrid w:val="0"/>
                    <w:jc w:val="center"/>
                    <w:rPr>
                      <w:bCs/>
                      <w:szCs w:val="21"/>
                    </w:rPr>
                  </w:pPr>
                  <w:r>
                    <w:rPr>
                      <w:rFonts w:hint="eastAsia"/>
                      <w:bCs/>
                      <w:szCs w:val="21"/>
                    </w:rPr>
                    <w:t>铅（Pb）/（mg/kg）</w:t>
                  </w:r>
                </w:p>
              </w:tc>
              <w:tc>
                <w:tcPr>
                  <w:tcW w:w="3982" w:type="dxa"/>
                  <w:vMerge w:val="restart"/>
                  <w:vAlign w:val="center"/>
                </w:tcPr>
                <w:p>
                  <w:pPr>
                    <w:snapToGrid w:val="0"/>
                    <w:jc w:val="center"/>
                    <w:rPr>
                      <w:bCs/>
                      <w:szCs w:val="21"/>
                    </w:rPr>
                  </w:pPr>
                  <w:r>
                    <w:rPr>
                      <w:rFonts w:hint="eastAsia"/>
                      <w:bCs/>
                      <w:szCs w:val="21"/>
                    </w:rPr>
                    <w:t>应符合GB19643的规定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263" w:type="dxa"/>
                  <w:vMerge w:val="continue"/>
                  <w:vAlign w:val="center"/>
                </w:tcPr>
                <w:p>
                  <w:pPr>
                    <w:snapToGrid w:val="0"/>
                    <w:jc w:val="center"/>
                    <w:rPr>
                      <w:bCs/>
                      <w:szCs w:val="21"/>
                    </w:rPr>
                  </w:pPr>
                </w:p>
              </w:tc>
              <w:tc>
                <w:tcPr>
                  <w:tcW w:w="2693" w:type="dxa"/>
                  <w:vAlign w:val="center"/>
                </w:tcPr>
                <w:p>
                  <w:pPr>
                    <w:snapToGrid w:val="0"/>
                    <w:jc w:val="center"/>
                    <w:rPr>
                      <w:bCs/>
                      <w:szCs w:val="21"/>
                    </w:rPr>
                  </w:pPr>
                  <w:r>
                    <w:rPr>
                      <w:rFonts w:hint="eastAsia"/>
                      <w:bCs/>
                      <w:szCs w:val="21"/>
                    </w:rPr>
                    <w:t>无机砷/（mg/kg）</w:t>
                  </w:r>
                </w:p>
              </w:tc>
              <w:tc>
                <w:tcPr>
                  <w:tcW w:w="3982" w:type="dxa"/>
                  <w:vMerge w:val="continue"/>
                  <w:vAlign w:val="center"/>
                </w:tcPr>
                <w:p>
                  <w:pPr>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263" w:type="dxa"/>
                  <w:vMerge w:val="continue"/>
                  <w:vAlign w:val="center"/>
                </w:tcPr>
                <w:p>
                  <w:pPr>
                    <w:snapToGrid w:val="0"/>
                    <w:jc w:val="center"/>
                    <w:rPr>
                      <w:bCs/>
                      <w:szCs w:val="21"/>
                    </w:rPr>
                  </w:pPr>
                </w:p>
              </w:tc>
              <w:tc>
                <w:tcPr>
                  <w:tcW w:w="2693" w:type="dxa"/>
                  <w:vAlign w:val="center"/>
                </w:tcPr>
                <w:p>
                  <w:pPr>
                    <w:snapToGrid w:val="0"/>
                    <w:jc w:val="center"/>
                    <w:rPr>
                      <w:bCs/>
                      <w:szCs w:val="21"/>
                    </w:rPr>
                  </w:pPr>
                  <w:r>
                    <w:rPr>
                      <w:rFonts w:hint="eastAsia"/>
                      <w:bCs/>
                      <w:szCs w:val="21"/>
                    </w:rPr>
                    <w:t>甲基汞（以鲜重计）/（mg/kg）</w:t>
                  </w:r>
                </w:p>
              </w:tc>
              <w:tc>
                <w:tcPr>
                  <w:tcW w:w="3982" w:type="dxa"/>
                  <w:vMerge w:val="continue"/>
                  <w:vAlign w:val="center"/>
                </w:tcPr>
                <w:p>
                  <w:pPr>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263" w:type="dxa"/>
                  <w:vMerge w:val="continue"/>
                  <w:vAlign w:val="center"/>
                </w:tcPr>
                <w:p>
                  <w:pPr>
                    <w:snapToGrid w:val="0"/>
                    <w:jc w:val="center"/>
                    <w:rPr>
                      <w:bCs/>
                      <w:szCs w:val="21"/>
                    </w:rPr>
                  </w:pPr>
                </w:p>
              </w:tc>
              <w:tc>
                <w:tcPr>
                  <w:tcW w:w="2693" w:type="dxa"/>
                  <w:vAlign w:val="center"/>
                </w:tcPr>
                <w:p>
                  <w:pPr>
                    <w:snapToGrid w:val="0"/>
                    <w:jc w:val="center"/>
                    <w:rPr>
                      <w:bCs/>
                      <w:szCs w:val="21"/>
                    </w:rPr>
                  </w:pPr>
                  <w:r>
                    <w:rPr>
                      <w:rFonts w:hint="eastAsia"/>
                      <w:bCs/>
                      <w:szCs w:val="21"/>
                    </w:rPr>
                    <w:t>多氯联苯</w:t>
                  </w:r>
                </w:p>
              </w:tc>
              <w:tc>
                <w:tcPr>
                  <w:tcW w:w="3982" w:type="dxa"/>
                  <w:vMerge w:val="continue"/>
                  <w:vAlign w:val="center"/>
                </w:tcPr>
                <w:p>
                  <w:pPr>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263" w:type="dxa"/>
                  <w:vMerge w:val="restart"/>
                  <w:vAlign w:val="center"/>
                </w:tcPr>
                <w:p>
                  <w:pPr>
                    <w:snapToGrid w:val="0"/>
                    <w:jc w:val="center"/>
                    <w:rPr>
                      <w:bCs/>
                      <w:szCs w:val="21"/>
                    </w:rPr>
                  </w:pPr>
                  <w:r>
                    <w:rPr>
                      <w:rFonts w:hint="eastAsia"/>
                      <w:bCs/>
                      <w:szCs w:val="21"/>
                    </w:rPr>
                    <w:t>微生物要求</w:t>
                  </w:r>
                </w:p>
              </w:tc>
              <w:tc>
                <w:tcPr>
                  <w:tcW w:w="2693" w:type="dxa"/>
                  <w:vAlign w:val="center"/>
                </w:tcPr>
                <w:p>
                  <w:pPr>
                    <w:snapToGrid w:val="0"/>
                    <w:jc w:val="center"/>
                    <w:rPr>
                      <w:bCs/>
                      <w:szCs w:val="21"/>
                    </w:rPr>
                  </w:pPr>
                  <w:r>
                    <w:rPr>
                      <w:rFonts w:hint="eastAsia"/>
                      <w:bCs/>
                      <w:szCs w:val="21"/>
                    </w:rPr>
                    <w:t>大肠菌群/（MPN/100g）</w:t>
                  </w:r>
                </w:p>
              </w:tc>
              <w:tc>
                <w:tcPr>
                  <w:tcW w:w="3982" w:type="dxa"/>
                  <w:vMerge w:val="restart"/>
                  <w:vAlign w:val="center"/>
                </w:tcPr>
                <w:p>
                  <w:pPr>
                    <w:snapToGrid w:val="0"/>
                    <w:jc w:val="center"/>
                    <w:rPr>
                      <w:bCs/>
                      <w:szCs w:val="21"/>
                    </w:rPr>
                  </w:pPr>
                  <w:r>
                    <w:rPr>
                      <w:rFonts w:hint="eastAsia"/>
                      <w:bCs/>
                      <w:szCs w:val="21"/>
                    </w:rPr>
                    <w:t>应符合GB19643的规定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263" w:type="dxa"/>
                  <w:vMerge w:val="continue"/>
                  <w:vAlign w:val="center"/>
                </w:tcPr>
                <w:p>
                  <w:pPr>
                    <w:snapToGrid w:val="0"/>
                    <w:jc w:val="center"/>
                    <w:rPr>
                      <w:bCs/>
                      <w:szCs w:val="21"/>
                    </w:rPr>
                  </w:pPr>
                </w:p>
              </w:tc>
              <w:tc>
                <w:tcPr>
                  <w:tcW w:w="2693" w:type="dxa"/>
                  <w:vAlign w:val="center"/>
                </w:tcPr>
                <w:p>
                  <w:pPr>
                    <w:snapToGrid w:val="0"/>
                    <w:jc w:val="center"/>
                    <w:rPr>
                      <w:bCs/>
                      <w:szCs w:val="21"/>
                    </w:rPr>
                  </w:pPr>
                  <w:r>
                    <w:rPr>
                      <w:rFonts w:hint="eastAsia"/>
                      <w:bCs/>
                      <w:szCs w:val="21"/>
                    </w:rPr>
                    <w:t>霉菌（CFU/g）</w:t>
                  </w:r>
                </w:p>
              </w:tc>
              <w:tc>
                <w:tcPr>
                  <w:tcW w:w="3982" w:type="dxa"/>
                  <w:vMerge w:val="continue"/>
                  <w:vAlign w:val="center"/>
                </w:tcPr>
                <w:p>
                  <w:pPr>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263" w:type="dxa"/>
                  <w:vMerge w:val="continue"/>
                  <w:vAlign w:val="center"/>
                </w:tcPr>
                <w:p>
                  <w:pPr>
                    <w:snapToGrid w:val="0"/>
                    <w:jc w:val="center"/>
                    <w:rPr>
                      <w:bCs/>
                      <w:szCs w:val="21"/>
                    </w:rPr>
                  </w:pPr>
                </w:p>
              </w:tc>
              <w:tc>
                <w:tcPr>
                  <w:tcW w:w="2693" w:type="dxa"/>
                  <w:vAlign w:val="center"/>
                </w:tcPr>
                <w:p>
                  <w:pPr>
                    <w:snapToGrid w:val="0"/>
                    <w:jc w:val="center"/>
                    <w:rPr>
                      <w:bCs/>
                      <w:szCs w:val="21"/>
                    </w:rPr>
                  </w:pPr>
                  <w:r>
                    <w:rPr>
                      <w:rFonts w:hint="eastAsia"/>
                      <w:bCs/>
                      <w:szCs w:val="21"/>
                    </w:rPr>
                    <w:t>致病菌（沙门氏菌、副溶血性弧菌、金黄色葡萄球菌、志贺氏菌）</w:t>
                  </w:r>
                </w:p>
              </w:tc>
              <w:tc>
                <w:tcPr>
                  <w:tcW w:w="3982" w:type="dxa"/>
                  <w:vMerge w:val="continue"/>
                  <w:vAlign w:val="center"/>
                </w:tcPr>
                <w:p>
                  <w:pPr>
                    <w:snapToGrid w:val="0"/>
                    <w:jc w:val="center"/>
                    <w:rPr>
                      <w:bCs/>
                      <w:szCs w:val="21"/>
                    </w:rPr>
                  </w:pPr>
                </w:p>
              </w:tc>
            </w:tr>
          </w:tbl>
          <w:p>
            <w:pPr>
              <w:snapToGrid w:val="0"/>
              <w:spacing w:line="520" w:lineRule="exact"/>
              <w:ind w:firstLine="482" w:firstLineChars="200"/>
              <w:rPr>
                <w:b/>
                <w:bCs/>
                <w:sz w:val="24"/>
              </w:rPr>
            </w:pPr>
            <w:r>
              <w:rPr>
                <w:rFonts w:hint="eastAsia"/>
                <w:b/>
                <w:bCs/>
                <w:sz w:val="24"/>
              </w:rPr>
              <w:t>4</w:t>
            </w:r>
            <w:r>
              <w:rPr>
                <w:b/>
                <w:bCs/>
                <w:sz w:val="24"/>
              </w:rPr>
              <w:t>、工程建设规模及内容</w:t>
            </w:r>
          </w:p>
          <w:p>
            <w:pPr>
              <w:snapToGrid w:val="0"/>
              <w:spacing w:line="520" w:lineRule="exact"/>
              <w:ind w:firstLine="480" w:firstLineChars="200"/>
              <w:rPr>
                <w:sz w:val="24"/>
              </w:rPr>
            </w:pPr>
            <w:r>
              <w:rPr>
                <w:sz w:val="24"/>
              </w:rPr>
              <w:t>项目</w:t>
            </w:r>
            <w:r>
              <w:rPr>
                <w:rFonts w:hint="eastAsia"/>
                <w:sz w:val="24"/>
              </w:rPr>
              <w:t>位于</w:t>
            </w:r>
            <w:r>
              <w:rPr>
                <w:rFonts w:hint="eastAsia" w:hAnsi="宋体"/>
                <w:sz w:val="24"/>
              </w:rPr>
              <w:t>滁州市苏滁产业园常州南路611号</w:t>
            </w:r>
            <w:r>
              <w:rPr>
                <w:sz w:val="24"/>
              </w:rPr>
              <w:t>，</w:t>
            </w:r>
            <w:r>
              <w:rPr>
                <w:rFonts w:hint="eastAsia"/>
                <w:sz w:val="24"/>
              </w:rPr>
              <w:t>2#厂房建筑面积22430平方米</w:t>
            </w:r>
            <w:r>
              <w:rPr>
                <w:sz w:val="24"/>
              </w:rPr>
              <w:t>。</w:t>
            </w:r>
          </w:p>
          <w:p>
            <w:pPr>
              <w:snapToGrid w:val="0"/>
              <w:spacing w:before="120" w:beforeLines="50" w:line="360" w:lineRule="auto"/>
              <w:ind w:firstLine="482" w:firstLineChars="200"/>
              <w:jc w:val="center"/>
              <w:rPr>
                <w:b/>
                <w:bCs/>
                <w:sz w:val="24"/>
              </w:rPr>
            </w:pPr>
            <w:r>
              <w:rPr>
                <w:b/>
                <w:bCs/>
                <w:sz w:val="24"/>
              </w:rPr>
              <w:t>表</w:t>
            </w:r>
            <w:r>
              <w:rPr>
                <w:rFonts w:hint="eastAsia"/>
                <w:b/>
                <w:bCs/>
                <w:sz w:val="24"/>
              </w:rPr>
              <w:t xml:space="preserve">2-3 </w:t>
            </w:r>
            <w:r>
              <w:rPr>
                <w:b/>
                <w:bCs/>
                <w:sz w:val="24"/>
              </w:rPr>
              <w:t xml:space="preserve"> </w:t>
            </w:r>
            <w:r>
              <w:rPr>
                <w:rFonts w:hint="eastAsia"/>
                <w:b/>
                <w:bCs/>
                <w:sz w:val="24"/>
              </w:rPr>
              <w:t>扩建后</w:t>
            </w:r>
            <w:r>
              <w:rPr>
                <w:b/>
                <w:bCs/>
                <w:sz w:val="24"/>
              </w:rPr>
              <w:t>建设组成一览表</w:t>
            </w:r>
          </w:p>
          <w:tbl>
            <w:tblPr>
              <w:tblStyle w:val="22"/>
              <w:tblW w:w="497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9"/>
              <w:gridCol w:w="371"/>
              <w:gridCol w:w="81"/>
              <w:gridCol w:w="554"/>
              <w:gridCol w:w="1585"/>
              <w:gridCol w:w="1498"/>
              <w:gridCol w:w="1737"/>
              <w:gridCol w:w="17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3" w:hRule="atLeast"/>
                <w:tblHeader/>
                <w:jc w:val="center"/>
              </w:trPr>
              <w:tc>
                <w:tcPr>
                  <w:tcW w:w="400" w:type="pct"/>
                  <w:vMerge w:val="restart"/>
                  <w:tcBorders>
                    <w:tl2br w:val="nil"/>
                    <w:tr2bl w:val="nil"/>
                  </w:tcBorders>
                  <w:vAlign w:val="center"/>
                </w:tcPr>
                <w:p>
                  <w:pPr>
                    <w:adjustRightInd w:val="0"/>
                    <w:snapToGrid w:val="0"/>
                    <w:jc w:val="center"/>
                    <w:rPr>
                      <w:b/>
                      <w:szCs w:val="21"/>
                    </w:rPr>
                  </w:pPr>
                  <w:r>
                    <w:rPr>
                      <w:b/>
                      <w:szCs w:val="21"/>
                    </w:rPr>
                    <w:t>项目工程</w:t>
                  </w:r>
                </w:p>
              </w:tc>
              <w:tc>
                <w:tcPr>
                  <w:tcW w:w="611" w:type="pct"/>
                  <w:gridSpan w:val="3"/>
                  <w:vMerge w:val="restart"/>
                  <w:tcBorders>
                    <w:tl2br w:val="nil"/>
                    <w:tr2bl w:val="nil"/>
                  </w:tcBorders>
                  <w:vAlign w:val="center"/>
                </w:tcPr>
                <w:p>
                  <w:pPr>
                    <w:adjustRightInd w:val="0"/>
                    <w:snapToGrid w:val="0"/>
                    <w:jc w:val="center"/>
                    <w:rPr>
                      <w:b/>
                      <w:szCs w:val="21"/>
                    </w:rPr>
                  </w:pPr>
                  <w:r>
                    <w:rPr>
                      <w:b/>
                      <w:szCs w:val="21"/>
                    </w:rPr>
                    <w:t>建设名称</w:t>
                  </w:r>
                </w:p>
              </w:tc>
              <w:tc>
                <w:tcPr>
                  <w:tcW w:w="2932" w:type="pct"/>
                  <w:gridSpan w:val="3"/>
                  <w:tcBorders>
                    <w:tl2br w:val="nil"/>
                    <w:tr2bl w:val="nil"/>
                  </w:tcBorders>
                  <w:vAlign w:val="center"/>
                </w:tcPr>
                <w:p>
                  <w:pPr>
                    <w:adjustRightInd w:val="0"/>
                    <w:snapToGrid w:val="0"/>
                    <w:jc w:val="center"/>
                    <w:rPr>
                      <w:b/>
                      <w:szCs w:val="21"/>
                    </w:rPr>
                  </w:pPr>
                  <w:r>
                    <w:rPr>
                      <w:b/>
                      <w:szCs w:val="21"/>
                    </w:rPr>
                    <w:t>设计能力</w:t>
                  </w:r>
                </w:p>
              </w:tc>
              <w:tc>
                <w:tcPr>
                  <w:tcW w:w="1055" w:type="pct"/>
                  <w:vMerge w:val="restart"/>
                  <w:tcBorders>
                    <w:tl2br w:val="nil"/>
                    <w:tr2bl w:val="nil"/>
                  </w:tcBorders>
                  <w:vAlign w:val="center"/>
                </w:tcPr>
                <w:p>
                  <w:pPr>
                    <w:adjustRightInd w:val="0"/>
                    <w:snapToGrid w:val="0"/>
                    <w:jc w:val="center"/>
                    <w:rPr>
                      <w:b/>
                      <w:szCs w:val="21"/>
                    </w:rPr>
                  </w:pPr>
                  <w:r>
                    <w:rPr>
                      <w:b/>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 w:hRule="atLeast"/>
                <w:tblHeader/>
                <w:jc w:val="center"/>
              </w:trPr>
              <w:tc>
                <w:tcPr>
                  <w:tcW w:w="400" w:type="pct"/>
                  <w:vMerge w:val="continue"/>
                  <w:tcBorders>
                    <w:tl2br w:val="nil"/>
                    <w:tr2bl w:val="nil"/>
                  </w:tcBorders>
                  <w:vAlign w:val="center"/>
                </w:tcPr>
                <w:p>
                  <w:pPr>
                    <w:adjustRightInd w:val="0"/>
                    <w:snapToGrid w:val="0"/>
                    <w:jc w:val="center"/>
                    <w:rPr>
                      <w:b/>
                      <w:szCs w:val="21"/>
                    </w:rPr>
                  </w:pPr>
                </w:p>
              </w:tc>
              <w:tc>
                <w:tcPr>
                  <w:tcW w:w="611" w:type="pct"/>
                  <w:gridSpan w:val="3"/>
                  <w:vMerge w:val="continue"/>
                  <w:tcBorders>
                    <w:tl2br w:val="nil"/>
                    <w:tr2bl w:val="nil"/>
                  </w:tcBorders>
                  <w:vAlign w:val="center"/>
                </w:tcPr>
                <w:p>
                  <w:pPr>
                    <w:adjustRightInd w:val="0"/>
                    <w:snapToGrid w:val="0"/>
                    <w:jc w:val="center"/>
                    <w:rPr>
                      <w:b/>
                      <w:szCs w:val="21"/>
                    </w:rPr>
                  </w:pPr>
                </w:p>
              </w:tc>
              <w:tc>
                <w:tcPr>
                  <w:tcW w:w="964" w:type="pct"/>
                  <w:tcBorders>
                    <w:tl2br w:val="nil"/>
                    <w:tr2bl w:val="nil"/>
                  </w:tcBorders>
                  <w:vAlign w:val="center"/>
                </w:tcPr>
                <w:p>
                  <w:pPr>
                    <w:adjustRightInd w:val="0"/>
                    <w:snapToGrid w:val="0"/>
                    <w:jc w:val="center"/>
                    <w:rPr>
                      <w:b/>
                      <w:szCs w:val="21"/>
                    </w:rPr>
                  </w:pPr>
                  <w:r>
                    <w:rPr>
                      <w:rFonts w:hint="eastAsia"/>
                      <w:b/>
                      <w:szCs w:val="21"/>
                    </w:rPr>
                    <w:t>扩建前</w:t>
                  </w:r>
                </w:p>
              </w:tc>
              <w:tc>
                <w:tcPr>
                  <w:tcW w:w="911" w:type="pct"/>
                  <w:tcBorders>
                    <w:tl2br w:val="nil"/>
                    <w:tr2bl w:val="nil"/>
                  </w:tcBorders>
                  <w:vAlign w:val="center"/>
                </w:tcPr>
                <w:p>
                  <w:pPr>
                    <w:adjustRightInd w:val="0"/>
                    <w:snapToGrid w:val="0"/>
                    <w:jc w:val="center"/>
                    <w:rPr>
                      <w:b/>
                      <w:szCs w:val="21"/>
                    </w:rPr>
                  </w:pPr>
                  <w:r>
                    <w:rPr>
                      <w:rFonts w:hint="eastAsia"/>
                      <w:b/>
                      <w:szCs w:val="21"/>
                    </w:rPr>
                    <w:t>本项目</w:t>
                  </w:r>
                </w:p>
              </w:tc>
              <w:tc>
                <w:tcPr>
                  <w:tcW w:w="1057" w:type="pct"/>
                  <w:tcBorders>
                    <w:tl2br w:val="nil"/>
                    <w:tr2bl w:val="nil"/>
                  </w:tcBorders>
                  <w:vAlign w:val="center"/>
                </w:tcPr>
                <w:p>
                  <w:pPr>
                    <w:adjustRightInd w:val="0"/>
                    <w:snapToGrid w:val="0"/>
                    <w:jc w:val="center"/>
                    <w:rPr>
                      <w:b/>
                      <w:szCs w:val="21"/>
                    </w:rPr>
                  </w:pPr>
                  <w:r>
                    <w:rPr>
                      <w:rFonts w:hint="eastAsia"/>
                      <w:b/>
                      <w:szCs w:val="21"/>
                    </w:rPr>
                    <w:t>扩建后全厂</w:t>
                  </w:r>
                </w:p>
              </w:tc>
              <w:tc>
                <w:tcPr>
                  <w:tcW w:w="1055" w:type="pct"/>
                  <w:vMerge w:val="continue"/>
                  <w:tcBorders>
                    <w:tl2br w:val="nil"/>
                    <w:tr2bl w:val="nil"/>
                  </w:tcBorders>
                  <w:vAlign w:val="center"/>
                </w:tcPr>
                <w:p>
                  <w:pPr>
                    <w:adjustRightInd w:val="0"/>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400" w:type="pct"/>
                  <w:vMerge w:val="restart"/>
                  <w:tcBorders>
                    <w:tl2br w:val="nil"/>
                    <w:tr2bl w:val="nil"/>
                  </w:tcBorders>
                  <w:vAlign w:val="center"/>
                </w:tcPr>
                <w:p>
                  <w:pPr>
                    <w:adjustRightInd w:val="0"/>
                    <w:snapToGrid w:val="0"/>
                    <w:jc w:val="center"/>
                    <w:rPr>
                      <w:szCs w:val="21"/>
                    </w:rPr>
                  </w:pPr>
                  <w:r>
                    <w:rPr>
                      <w:rFonts w:hint="eastAsia"/>
                      <w:szCs w:val="21"/>
                    </w:rPr>
                    <w:t>主体工程</w:t>
                  </w:r>
                </w:p>
              </w:tc>
              <w:tc>
                <w:tcPr>
                  <w:tcW w:w="611" w:type="pct"/>
                  <w:gridSpan w:val="3"/>
                  <w:vMerge w:val="restart"/>
                  <w:tcBorders>
                    <w:tl2br w:val="nil"/>
                    <w:tr2bl w:val="nil"/>
                  </w:tcBorders>
                  <w:vAlign w:val="center"/>
                </w:tcPr>
                <w:p>
                  <w:pPr>
                    <w:adjustRightInd w:val="0"/>
                    <w:snapToGrid w:val="0"/>
                    <w:spacing w:line="320" w:lineRule="exact"/>
                    <w:jc w:val="center"/>
                    <w:rPr>
                      <w:szCs w:val="21"/>
                    </w:rPr>
                  </w:pPr>
                  <w:r>
                    <w:rPr>
                      <w:rFonts w:hint="eastAsia"/>
                      <w:szCs w:val="21"/>
                    </w:rPr>
                    <w:t>1#生产厂房</w:t>
                  </w:r>
                </w:p>
              </w:tc>
              <w:tc>
                <w:tcPr>
                  <w:tcW w:w="964" w:type="pct"/>
                  <w:tcBorders>
                    <w:tl2br w:val="nil"/>
                    <w:tr2bl w:val="nil"/>
                  </w:tcBorders>
                  <w:vAlign w:val="center"/>
                </w:tcPr>
                <w:p>
                  <w:pPr>
                    <w:adjustRightInd w:val="0"/>
                    <w:snapToGrid w:val="0"/>
                    <w:spacing w:line="320" w:lineRule="exact"/>
                    <w:jc w:val="center"/>
                    <w:rPr>
                      <w:szCs w:val="21"/>
                      <w:highlight w:val="yellow"/>
                    </w:rPr>
                  </w:pPr>
                  <w:r>
                    <w:rPr>
                      <w:szCs w:val="21"/>
                    </w:rPr>
                    <w:t>占地</w:t>
                  </w:r>
                  <w:r>
                    <w:rPr>
                      <w:rFonts w:hint="eastAsia"/>
                      <w:szCs w:val="21"/>
                    </w:rPr>
                    <w:t>7265</w:t>
                  </w:r>
                  <w:r>
                    <w:rPr>
                      <w:szCs w:val="21"/>
                    </w:rPr>
                    <w:t>m</w:t>
                  </w:r>
                  <w:r>
                    <w:rPr>
                      <w:szCs w:val="21"/>
                      <w:vertAlign w:val="superscript"/>
                    </w:rPr>
                    <w:t>2</w:t>
                  </w:r>
                  <w:r>
                    <w:rPr>
                      <w:szCs w:val="21"/>
                    </w:rPr>
                    <w:t>，建筑面积</w:t>
                  </w:r>
                  <w:r>
                    <w:rPr>
                      <w:rFonts w:hint="eastAsia"/>
                      <w:szCs w:val="21"/>
                    </w:rPr>
                    <w:t>14530</w:t>
                  </w:r>
                  <w:r>
                    <w:rPr>
                      <w:szCs w:val="21"/>
                    </w:rPr>
                    <w:t>m</w:t>
                  </w:r>
                  <w:r>
                    <w:rPr>
                      <w:szCs w:val="21"/>
                      <w:vertAlign w:val="superscript"/>
                    </w:rPr>
                    <w:t>2</w:t>
                  </w:r>
                </w:p>
              </w:tc>
              <w:tc>
                <w:tcPr>
                  <w:tcW w:w="911" w:type="pct"/>
                  <w:tcBorders>
                    <w:tl2br w:val="nil"/>
                    <w:tr2bl w:val="nil"/>
                  </w:tcBorders>
                  <w:vAlign w:val="center"/>
                </w:tcPr>
                <w:p>
                  <w:pPr>
                    <w:adjustRightInd w:val="0"/>
                    <w:snapToGrid w:val="0"/>
                    <w:jc w:val="center"/>
                    <w:rPr>
                      <w:szCs w:val="21"/>
                    </w:rPr>
                  </w:pPr>
                  <w:r>
                    <w:rPr>
                      <w:rFonts w:hint="eastAsia"/>
                      <w:szCs w:val="21"/>
                    </w:rPr>
                    <w:t>/</w:t>
                  </w:r>
                </w:p>
              </w:tc>
              <w:tc>
                <w:tcPr>
                  <w:tcW w:w="1057" w:type="pct"/>
                  <w:tcBorders>
                    <w:tl2br w:val="nil"/>
                    <w:tr2bl w:val="nil"/>
                  </w:tcBorders>
                  <w:vAlign w:val="center"/>
                </w:tcPr>
                <w:p>
                  <w:pPr>
                    <w:adjustRightInd w:val="0"/>
                    <w:snapToGrid w:val="0"/>
                    <w:spacing w:line="320" w:lineRule="exact"/>
                    <w:jc w:val="center"/>
                    <w:rPr>
                      <w:szCs w:val="21"/>
                      <w:highlight w:val="yellow"/>
                    </w:rPr>
                  </w:pPr>
                  <w:r>
                    <w:rPr>
                      <w:szCs w:val="21"/>
                    </w:rPr>
                    <w:t>占地</w:t>
                  </w:r>
                  <w:r>
                    <w:rPr>
                      <w:rFonts w:hint="eastAsia"/>
                      <w:szCs w:val="21"/>
                    </w:rPr>
                    <w:t>7265</w:t>
                  </w:r>
                  <w:r>
                    <w:rPr>
                      <w:szCs w:val="21"/>
                    </w:rPr>
                    <w:t>m</w:t>
                  </w:r>
                  <w:r>
                    <w:rPr>
                      <w:szCs w:val="21"/>
                      <w:vertAlign w:val="superscript"/>
                    </w:rPr>
                    <w:t>2</w:t>
                  </w:r>
                  <w:r>
                    <w:rPr>
                      <w:szCs w:val="21"/>
                    </w:rPr>
                    <w:t>，建筑面积</w:t>
                  </w:r>
                  <w:r>
                    <w:rPr>
                      <w:rFonts w:hint="eastAsia"/>
                      <w:szCs w:val="21"/>
                    </w:rPr>
                    <w:t>14530</w:t>
                  </w:r>
                  <w:r>
                    <w:rPr>
                      <w:szCs w:val="21"/>
                    </w:rPr>
                    <w:t>m</w:t>
                  </w:r>
                  <w:r>
                    <w:rPr>
                      <w:szCs w:val="21"/>
                      <w:vertAlign w:val="superscript"/>
                    </w:rPr>
                    <w:t>2</w:t>
                  </w:r>
                </w:p>
              </w:tc>
              <w:tc>
                <w:tcPr>
                  <w:tcW w:w="1055" w:type="pct"/>
                  <w:tcBorders>
                    <w:tl2br w:val="nil"/>
                    <w:tr2bl w:val="nil"/>
                  </w:tcBorders>
                  <w:vAlign w:val="center"/>
                </w:tcPr>
                <w:p>
                  <w:pPr>
                    <w:adjustRightInd w:val="0"/>
                    <w:snapToGrid w:val="0"/>
                    <w:jc w:val="center"/>
                    <w:rPr>
                      <w:szCs w:val="21"/>
                    </w:rPr>
                  </w:pPr>
                  <w:r>
                    <w:rPr>
                      <w:rFonts w:hint="eastAsia"/>
                      <w:szCs w:val="21"/>
                    </w:rPr>
                    <w:t>主要为饼干生产线加工（1F、2F）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vMerge w:val="continue"/>
                  <w:tcBorders>
                    <w:tl2br w:val="nil"/>
                    <w:tr2bl w:val="nil"/>
                  </w:tcBorders>
                  <w:vAlign w:val="center"/>
                </w:tcPr>
                <w:p>
                  <w:pPr>
                    <w:adjustRightInd w:val="0"/>
                    <w:snapToGrid w:val="0"/>
                    <w:spacing w:line="320" w:lineRule="exact"/>
                    <w:jc w:val="center"/>
                    <w:rPr>
                      <w:szCs w:val="21"/>
                    </w:rPr>
                  </w:pPr>
                </w:p>
              </w:tc>
              <w:tc>
                <w:tcPr>
                  <w:tcW w:w="964" w:type="pct"/>
                  <w:tcBorders>
                    <w:tl2br w:val="nil"/>
                    <w:tr2bl w:val="nil"/>
                  </w:tcBorders>
                  <w:vAlign w:val="center"/>
                </w:tcPr>
                <w:p>
                  <w:pPr>
                    <w:adjustRightInd w:val="0"/>
                    <w:snapToGrid w:val="0"/>
                    <w:spacing w:line="320" w:lineRule="exact"/>
                    <w:jc w:val="center"/>
                    <w:rPr>
                      <w:szCs w:val="21"/>
                      <w:highlight w:val="yellow"/>
                    </w:rPr>
                  </w:pPr>
                  <w:r>
                    <w:rPr>
                      <w:szCs w:val="21"/>
                    </w:rPr>
                    <w:t>占地</w:t>
                  </w:r>
                  <w:r>
                    <w:rPr>
                      <w:rFonts w:hint="eastAsia"/>
                      <w:szCs w:val="21"/>
                    </w:rPr>
                    <w:t>7265</w:t>
                  </w:r>
                  <w:r>
                    <w:rPr>
                      <w:szCs w:val="21"/>
                    </w:rPr>
                    <w:t>m</w:t>
                  </w:r>
                  <w:r>
                    <w:rPr>
                      <w:szCs w:val="21"/>
                      <w:vertAlign w:val="superscript"/>
                    </w:rPr>
                    <w:t>2</w:t>
                  </w:r>
                  <w:r>
                    <w:rPr>
                      <w:szCs w:val="21"/>
                    </w:rPr>
                    <w:t>，建筑面积</w:t>
                  </w:r>
                  <w:r>
                    <w:rPr>
                      <w:rFonts w:hint="eastAsia"/>
                      <w:szCs w:val="21"/>
                    </w:rPr>
                    <w:t>7265</w:t>
                  </w:r>
                  <w:r>
                    <w:rPr>
                      <w:szCs w:val="21"/>
                    </w:rPr>
                    <w:t>m</w:t>
                  </w:r>
                  <w:r>
                    <w:rPr>
                      <w:szCs w:val="21"/>
                      <w:vertAlign w:val="superscript"/>
                    </w:rPr>
                    <w:t>2</w:t>
                  </w:r>
                </w:p>
              </w:tc>
              <w:tc>
                <w:tcPr>
                  <w:tcW w:w="911" w:type="pct"/>
                  <w:tcBorders>
                    <w:tl2br w:val="nil"/>
                    <w:tr2bl w:val="nil"/>
                  </w:tcBorders>
                  <w:vAlign w:val="center"/>
                </w:tcPr>
                <w:p>
                  <w:pPr>
                    <w:adjustRightInd w:val="0"/>
                    <w:snapToGrid w:val="0"/>
                    <w:spacing w:line="320" w:lineRule="exact"/>
                    <w:jc w:val="center"/>
                    <w:rPr>
                      <w:szCs w:val="21"/>
                    </w:rPr>
                  </w:pPr>
                  <w:r>
                    <w:rPr>
                      <w:rFonts w:hint="eastAsia"/>
                      <w:szCs w:val="21"/>
                    </w:rPr>
                    <w:t>/</w:t>
                  </w:r>
                </w:p>
              </w:tc>
              <w:tc>
                <w:tcPr>
                  <w:tcW w:w="1057" w:type="pct"/>
                  <w:tcBorders>
                    <w:tl2br w:val="nil"/>
                    <w:tr2bl w:val="nil"/>
                  </w:tcBorders>
                  <w:vAlign w:val="center"/>
                </w:tcPr>
                <w:p>
                  <w:pPr>
                    <w:adjustRightInd w:val="0"/>
                    <w:snapToGrid w:val="0"/>
                    <w:spacing w:line="320" w:lineRule="exact"/>
                    <w:jc w:val="center"/>
                    <w:rPr>
                      <w:szCs w:val="21"/>
                      <w:highlight w:val="yellow"/>
                    </w:rPr>
                  </w:pPr>
                  <w:r>
                    <w:rPr>
                      <w:szCs w:val="21"/>
                    </w:rPr>
                    <w:t>占地</w:t>
                  </w:r>
                  <w:r>
                    <w:rPr>
                      <w:rFonts w:hint="eastAsia"/>
                      <w:szCs w:val="21"/>
                    </w:rPr>
                    <w:t>7265</w:t>
                  </w:r>
                  <w:r>
                    <w:rPr>
                      <w:szCs w:val="21"/>
                    </w:rPr>
                    <w:t>m</w:t>
                  </w:r>
                  <w:r>
                    <w:rPr>
                      <w:szCs w:val="21"/>
                      <w:vertAlign w:val="superscript"/>
                    </w:rPr>
                    <w:t>2</w:t>
                  </w:r>
                  <w:r>
                    <w:rPr>
                      <w:szCs w:val="21"/>
                    </w:rPr>
                    <w:t>，建筑面积</w:t>
                  </w:r>
                  <w:r>
                    <w:rPr>
                      <w:rFonts w:hint="eastAsia"/>
                      <w:szCs w:val="21"/>
                    </w:rPr>
                    <w:t>7265</w:t>
                  </w:r>
                  <w:r>
                    <w:rPr>
                      <w:szCs w:val="21"/>
                    </w:rPr>
                    <w:t>m</w:t>
                  </w:r>
                  <w:r>
                    <w:rPr>
                      <w:szCs w:val="21"/>
                      <w:vertAlign w:val="superscript"/>
                    </w:rPr>
                    <w:t>2</w:t>
                  </w:r>
                </w:p>
              </w:tc>
              <w:tc>
                <w:tcPr>
                  <w:tcW w:w="1055" w:type="pct"/>
                  <w:tcBorders>
                    <w:tl2br w:val="nil"/>
                    <w:tr2bl w:val="nil"/>
                  </w:tcBorders>
                  <w:vAlign w:val="center"/>
                </w:tcPr>
                <w:p>
                  <w:pPr>
                    <w:adjustRightInd w:val="0"/>
                    <w:snapToGrid w:val="0"/>
                    <w:spacing w:line="320" w:lineRule="exact"/>
                    <w:jc w:val="center"/>
                    <w:rPr>
                      <w:szCs w:val="21"/>
                    </w:rPr>
                  </w:pPr>
                  <w:r>
                    <w:rPr>
                      <w:rFonts w:hint="eastAsia"/>
                      <w:szCs w:val="21"/>
                    </w:rPr>
                    <w:t>海苔生产线（3F）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vMerge w:val="restart"/>
                  <w:tcBorders>
                    <w:tl2br w:val="nil"/>
                    <w:tr2bl w:val="nil"/>
                  </w:tcBorders>
                  <w:vAlign w:val="center"/>
                </w:tcPr>
                <w:p>
                  <w:pPr>
                    <w:adjustRightInd w:val="0"/>
                    <w:snapToGrid w:val="0"/>
                    <w:spacing w:line="320" w:lineRule="exact"/>
                    <w:jc w:val="center"/>
                    <w:rPr>
                      <w:szCs w:val="21"/>
                    </w:rPr>
                  </w:pPr>
                  <w:r>
                    <w:rPr>
                      <w:rFonts w:hint="eastAsia"/>
                      <w:szCs w:val="21"/>
                    </w:rPr>
                    <w:t>2#生产厂房</w:t>
                  </w:r>
                </w:p>
              </w:tc>
              <w:tc>
                <w:tcPr>
                  <w:tcW w:w="964" w:type="pct"/>
                  <w:tcBorders>
                    <w:tl2br w:val="nil"/>
                    <w:tr2bl w:val="nil"/>
                  </w:tcBorders>
                  <w:vAlign w:val="center"/>
                </w:tcPr>
                <w:p>
                  <w:pPr>
                    <w:adjustRightInd w:val="0"/>
                    <w:snapToGrid w:val="0"/>
                    <w:spacing w:line="320" w:lineRule="exact"/>
                    <w:jc w:val="center"/>
                    <w:rPr>
                      <w:szCs w:val="21"/>
                      <w:highlight w:val="yellow"/>
                    </w:rPr>
                  </w:pPr>
                  <w:r>
                    <w:rPr>
                      <w:rFonts w:hint="eastAsia"/>
                      <w:szCs w:val="21"/>
                    </w:rPr>
                    <w:t>/</w:t>
                  </w:r>
                </w:p>
              </w:tc>
              <w:tc>
                <w:tcPr>
                  <w:tcW w:w="911" w:type="pct"/>
                  <w:tcBorders>
                    <w:tl2br w:val="nil"/>
                    <w:tr2bl w:val="nil"/>
                  </w:tcBorders>
                  <w:vAlign w:val="center"/>
                </w:tcPr>
                <w:p>
                  <w:pPr>
                    <w:adjustRightInd w:val="0"/>
                    <w:snapToGrid w:val="0"/>
                    <w:jc w:val="center"/>
                    <w:rPr>
                      <w:szCs w:val="21"/>
                    </w:rPr>
                  </w:pPr>
                  <w:r>
                    <w:rPr>
                      <w:szCs w:val="21"/>
                    </w:rPr>
                    <w:t>占地</w:t>
                  </w:r>
                  <w:r>
                    <w:rPr>
                      <w:rFonts w:hint="eastAsia"/>
                      <w:szCs w:val="21"/>
                    </w:rPr>
                    <w:t>7296</w:t>
                  </w:r>
                  <w:r>
                    <w:rPr>
                      <w:szCs w:val="21"/>
                    </w:rPr>
                    <w:t>m</w:t>
                  </w:r>
                  <w:r>
                    <w:rPr>
                      <w:szCs w:val="21"/>
                      <w:vertAlign w:val="superscript"/>
                    </w:rPr>
                    <w:t>2</w:t>
                  </w:r>
                  <w:r>
                    <w:rPr>
                      <w:szCs w:val="21"/>
                    </w:rPr>
                    <w:t>，建筑面积</w:t>
                  </w:r>
                  <w:r>
                    <w:rPr>
                      <w:rFonts w:hint="eastAsia"/>
                      <w:szCs w:val="21"/>
                    </w:rPr>
                    <w:t>7296</w:t>
                  </w:r>
                  <w:r>
                    <w:rPr>
                      <w:szCs w:val="21"/>
                    </w:rPr>
                    <w:t>m</w:t>
                  </w:r>
                  <w:r>
                    <w:rPr>
                      <w:szCs w:val="21"/>
                      <w:vertAlign w:val="superscript"/>
                    </w:rPr>
                    <w:t>2</w:t>
                  </w:r>
                </w:p>
              </w:tc>
              <w:tc>
                <w:tcPr>
                  <w:tcW w:w="1057" w:type="pct"/>
                  <w:tcBorders>
                    <w:tl2br w:val="nil"/>
                    <w:tr2bl w:val="nil"/>
                  </w:tcBorders>
                  <w:vAlign w:val="center"/>
                </w:tcPr>
                <w:p>
                  <w:pPr>
                    <w:adjustRightInd w:val="0"/>
                    <w:snapToGrid w:val="0"/>
                    <w:jc w:val="center"/>
                    <w:rPr>
                      <w:szCs w:val="21"/>
                    </w:rPr>
                  </w:pPr>
                  <w:r>
                    <w:rPr>
                      <w:szCs w:val="21"/>
                    </w:rPr>
                    <w:t>占地</w:t>
                  </w:r>
                  <w:r>
                    <w:rPr>
                      <w:rFonts w:hint="eastAsia"/>
                      <w:szCs w:val="21"/>
                    </w:rPr>
                    <w:t>7296</w:t>
                  </w:r>
                  <w:r>
                    <w:rPr>
                      <w:szCs w:val="21"/>
                    </w:rPr>
                    <w:t>m</w:t>
                  </w:r>
                  <w:r>
                    <w:rPr>
                      <w:szCs w:val="21"/>
                      <w:vertAlign w:val="superscript"/>
                    </w:rPr>
                    <w:t>2</w:t>
                  </w:r>
                  <w:r>
                    <w:rPr>
                      <w:szCs w:val="21"/>
                    </w:rPr>
                    <w:t>，建筑面积</w:t>
                  </w:r>
                  <w:r>
                    <w:rPr>
                      <w:rFonts w:hint="eastAsia"/>
                      <w:szCs w:val="21"/>
                    </w:rPr>
                    <w:t>7296</w:t>
                  </w:r>
                  <w:r>
                    <w:rPr>
                      <w:szCs w:val="21"/>
                    </w:rPr>
                    <w:t>m</w:t>
                  </w:r>
                  <w:r>
                    <w:rPr>
                      <w:szCs w:val="21"/>
                      <w:vertAlign w:val="superscript"/>
                    </w:rPr>
                    <w:t>2</w:t>
                  </w:r>
                </w:p>
              </w:tc>
              <w:tc>
                <w:tcPr>
                  <w:tcW w:w="1055" w:type="pct"/>
                  <w:tcBorders>
                    <w:tl2br w:val="nil"/>
                    <w:tr2bl w:val="nil"/>
                  </w:tcBorders>
                  <w:vAlign w:val="center"/>
                </w:tcPr>
                <w:p>
                  <w:pPr>
                    <w:adjustRightInd w:val="0"/>
                    <w:snapToGrid w:val="0"/>
                    <w:jc w:val="center"/>
                    <w:rPr>
                      <w:szCs w:val="21"/>
                    </w:rPr>
                  </w:pPr>
                  <w:r>
                    <w:rPr>
                      <w:rFonts w:hint="eastAsia"/>
                      <w:szCs w:val="21"/>
                    </w:rPr>
                    <w:t>新建，主要为生产塑料包装制品（1F）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vMerge w:val="continue"/>
                  <w:tcBorders>
                    <w:tl2br w:val="nil"/>
                    <w:tr2bl w:val="nil"/>
                  </w:tcBorders>
                  <w:vAlign w:val="center"/>
                </w:tcPr>
                <w:p>
                  <w:pPr>
                    <w:adjustRightInd w:val="0"/>
                    <w:snapToGrid w:val="0"/>
                    <w:spacing w:line="320" w:lineRule="exact"/>
                    <w:jc w:val="center"/>
                    <w:rPr>
                      <w:szCs w:val="21"/>
                    </w:rPr>
                  </w:pPr>
                </w:p>
              </w:tc>
              <w:tc>
                <w:tcPr>
                  <w:tcW w:w="964" w:type="pct"/>
                  <w:tcBorders>
                    <w:tl2br w:val="nil"/>
                    <w:tr2bl w:val="nil"/>
                  </w:tcBorders>
                  <w:vAlign w:val="center"/>
                </w:tcPr>
                <w:p>
                  <w:pPr>
                    <w:adjustRightInd w:val="0"/>
                    <w:snapToGrid w:val="0"/>
                    <w:spacing w:line="320" w:lineRule="exact"/>
                    <w:jc w:val="center"/>
                    <w:rPr>
                      <w:szCs w:val="21"/>
                    </w:rPr>
                  </w:pPr>
                  <w:r>
                    <w:rPr>
                      <w:rFonts w:hint="eastAsia"/>
                      <w:szCs w:val="21"/>
                    </w:rPr>
                    <w:t>/</w:t>
                  </w:r>
                </w:p>
              </w:tc>
              <w:tc>
                <w:tcPr>
                  <w:tcW w:w="911" w:type="pct"/>
                  <w:tcBorders>
                    <w:tl2br w:val="nil"/>
                    <w:tr2bl w:val="nil"/>
                  </w:tcBorders>
                  <w:vAlign w:val="center"/>
                </w:tcPr>
                <w:p>
                  <w:pPr>
                    <w:adjustRightInd w:val="0"/>
                    <w:snapToGrid w:val="0"/>
                    <w:jc w:val="center"/>
                    <w:rPr>
                      <w:szCs w:val="21"/>
                    </w:rPr>
                  </w:pPr>
                  <w:r>
                    <w:rPr>
                      <w:szCs w:val="21"/>
                    </w:rPr>
                    <w:t>占地</w:t>
                  </w:r>
                  <w:r>
                    <w:rPr>
                      <w:rFonts w:hint="eastAsia"/>
                      <w:szCs w:val="21"/>
                    </w:rPr>
                    <w:t>7296</w:t>
                  </w:r>
                  <w:r>
                    <w:rPr>
                      <w:szCs w:val="21"/>
                    </w:rPr>
                    <w:t>m</w:t>
                  </w:r>
                  <w:r>
                    <w:rPr>
                      <w:szCs w:val="21"/>
                      <w:vertAlign w:val="superscript"/>
                    </w:rPr>
                    <w:t>2</w:t>
                  </w:r>
                  <w:r>
                    <w:rPr>
                      <w:szCs w:val="21"/>
                    </w:rPr>
                    <w:t>，建筑面积</w:t>
                  </w:r>
                  <w:r>
                    <w:rPr>
                      <w:rFonts w:hint="eastAsia"/>
                      <w:szCs w:val="21"/>
                    </w:rPr>
                    <w:t>7296</w:t>
                  </w:r>
                  <w:r>
                    <w:rPr>
                      <w:szCs w:val="21"/>
                    </w:rPr>
                    <w:t>m</w:t>
                  </w:r>
                  <w:r>
                    <w:rPr>
                      <w:szCs w:val="21"/>
                      <w:vertAlign w:val="superscript"/>
                    </w:rPr>
                    <w:t>2</w:t>
                  </w:r>
                </w:p>
              </w:tc>
              <w:tc>
                <w:tcPr>
                  <w:tcW w:w="1057" w:type="pct"/>
                  <w:tcBorders>
                    <w:tl2br w:val="nil"/>
                    <w:tr2bl w:val="nil"/>
                  </w:tcBorders>
                  <w:vAlign w:val="center"/>
                </w:tcPr>
                <w:p>
                  <w:pPr>
                    <w:adjustRightInd w:val="0"/>
                    <w:snapToGrid w:val="0"/>
                    <w:jc w:val="center"/>
                    <w:rPr>
                      <w:szCs w:val="21"/>
                    </w:rPr>
                  </w:pPr>
                  <w:r>
                    <w:rPr>
                      <w:szCs w:val="21"/>
                    </w:rPr>
                    <w:t>占地</w:t>
                  </w:r>
                  <w:r>
                    <w:rPr>
                      <w:rFonts w:hint="eastAsia"/>
                      <w:szCs w:val="21"/>
                    </w:rPr>
                    <w:t>7296</w:t>
                  </w:r>
                  <w:r>
                    <w:rPr>
                      <w:szCs w:val="21"/>
                    </w:rPr>
                    <w:t>m</w:t>
                  </w:r>
                  <w:r>
                    <w:rPr>
                      <w:szCs w:val="21"/>
                      <w:vertAlign w:val="superscript"/>
                    </w:rPr>
                    <w:t>2</w:t>
                  </w:r>
                  <w:r>
                    <w:rPr>
                      <w:szCs w:val="21"/>
                    </w:rPr>
                    <w:t>，建筑面积</w:t>
                  </w:r>
                  <w:r>
                    <w:rPr>
                      <w:rFonts w:hint="eastAsia"/>
                      <w:szCs w:val="21"/>
                    </w:rPr>
                    <w:t>7296</w:t>
                  </w:r>
                  <w:r>
                    <w:rPr>
                      <w:szCs w:val="21"/>
                    </w:rPr>
                    <w:t>m</w:t>
                  </w:r>
                  <w:r>
                    <w:rPr>
                      <w:szCs w:val="21"/>
                      <w:vertAlign w:val="superscript"/>
                    </w:rPr>
                    <w:t>2</w:t>
                  </w:r>
                </w:p>
              </w:tc>
              <w:tc>
                <w:tcPr>
                  <w:tcW w:w="1055" w:type="pct"/>
                  <w:tcBorders>
                    <w:tl2br w:val="nil"/>
                    <w:tr2bl w:val="nil"/>
                  </w:tcBorders>
                  <w:vAlign w:val="center"/>
                </w:tcPr>
                <w:p>
                  <w:pPr>
                    <w:adjustRightInd w:val="0"/>
                    <w:snapToGrid w:val="0"/>
                    <w:jc w:val="center"/>
                    <w:rPr>
                      <w:szCs w:val="21"/>
                    </w:rPr>
                  </w:pPr>
                  <w:r>
                    <w:rPr>
                      <w:rFonts w:hint="eastAsia"/>
                      <w:szCs w:val="21"/>
                    </w:rPr>
                    <w:t>新建，主要为夹心海苔生产线（2F）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vMerge w:val="continue"/>
                  <w:tcBorders>
                    <w:tl2br w:val="nil"/>
                    <w:tr2bl w:val="nil"/>
                  </w:tcBorders>
                  <w:vAlign w:val="center"/>
                </w:tcPr>
                <w:p>
                  <w:pPr>
                    <w:adjustRightInd w:val="0"/>
                    <w:snapToGrid w:val="0"/>
                    <w:spacing w:line="320" w:lineRule="exact"/>
                    <w:jc w:val="center"/>
                    <w:rPr>
                      <w:szCs w:val="21"/>
                    </w:rPr>
                  </w:pPr>
                </w:p>
              </w:tc>
              <w:tc>
                <w:tcPr>
                  <w:tcW w:w="964" w:type="pct"/>
                  <w:tcBorders>
                    <w:tl2br w:val="nil"/>
                    <w:tr2bl w:val="nil"/>
                  </w:tcBorders>
                  <w:vAlign w:val="center"/>
                </w:tcPr>
                <w:p>
                  <w:pPr>
                    <w:adjustRightInd w:val="0"/>
                    <w:snapToGrid w:val="0"/>
                    <w:spacing w:line="320" w:lineRule="exact"/>
                    <w:jc w:val="center"/>
                    <w:rPr>
                      <w:szCs w:val="21"/>
                    </w:rPr>
                  </w:pPr>
                  <w:r>
                    <w:rPr>
                      <w:rFonts w:hint="eastAsia"/>
                      <w:szCs w:val="21"/>
                    </w:rPr>
                    <w:t>/</w:t>
                  </w:r>
                </w:p>
              </w:tc>
              <w:tc>
                <w:tcPr>
                  <w:tcW w:w="911" w:type="pct"/>
                  <w:tcBorders>
                    <w:tl2br w:val="nil"/>
                    <w:tr2bl w:val="nil"/>
                  </w:tcBorders>
                  <w:vAlign w:val="center"/>
                </w:tcPr>
                <w:p>
                  <w:pPr>
                    <w:adjustRightInd w:val="0"/>
                    <w:snapToGrid w:val="0"/>
                    <w:jc w:val="center"/>
                    <w:rPr>
                      <w:szCs w:val="21"/>
                    </w:rPr>
                  </w:pPr>
                  <w:r>
                    <w:rPr>
                      <w:szCs w:val="21"/>
                    </w:rPr>
                    <w:t>占地</w:t>
                  </w:r>
                  <w:r>
                    <w:rPr>
                      <w:rFonts w:hint="eastAsia"/>
                      <w:szCs w:val="21"/>
                    </w:rPr>
                    <w:t>7296</w:t>
                  </w:r>
                  <w:r>
                    <w:rPr>
                      <w:szCs w:val="21"/>
                    </w:rPr>
                    <w:t>m</w:t>
                  </w:r>
                  <w:r>
                    <w:rPr>
                      <w:szCs w:val="21"/>
                      <w:vertAlign w:val="superscript"/>
                    </w:rPr>
                    <w:t>2</w:t>
                  </w:r>
                  <w:r>
                    <w:rPr>
                      <w:szCs w:val="21"/>
                    </w:rPr>
                    <w:t>，建筑面积</w:t>
                  </w:r>
                  <w:r>
                    <w:rPr>
                      <w:rFonts w:hint="eastAsia"/>
                      <w:szCs w:val="21"/>
                    </w:rPr>
                    <w:t>7296</w:t>
                  </w:r>
                  <w:r>
                    <w:rPr>
                      <w:szCs w:val="21"/>
                    </w:rPr>
                    <w:t>m</w:t>
                  </w:r>
                  <w:r>
                    <w:rPr>
                      <w:szCs w:val="21"/>
                      <w:vertAlign w:val="superscript"/>
                    </w:rPr>
                    <w:t>2</w:t>
                  </w:r>
                </w:p>
              </w:tc>
              <w:tc>
                <w:tcPr>
                  <w:tcW w:w="1057" w:type="pct"/>
                  <w:tcBorders>
                    <w:tl2br w:val="nil"/>
                    <w:tr2bl w:val="nil"/>
                  </w:tcBorders>
                  <w:vAlign w:val="center"/>
                </w:tcPr>
                <w:p>
                  <w:pPr>
                    <w:adjustRightInd w:val="0"/>
                    <w:snapToGrid w:val="0"/>
                    <w:jc w:val="center"/>
                    <w:rPr>
                      <w:szCs w:val="21"/>
                    </w:rPr>
                  </w:pPr>
                  <w:r>
                    <w:rPr>
                      <w:szCs w:val="21"/>
                    </w:rPr>
                    <w:t>占地</w:t>
                  </w:r>
                  <w:r>
                    <w:rPr>
                      <w:rFonts w:hint="eastAsia"/>
                      <w:szCs w:val="21"/>
                    </w:rPr>
                    <w:t>7296</w:t>
                  </w:r>
                  <w:r>
                    <w:rPr>
                      <w:szCs w:val="21"/>
                    </w:rPr>
                    <w:t>m</w:t>
                  </w:r>
                  <w:r>
                    <w:rPr>
                      <w:szCs w:val="21"/>
                      <w:vertAlign w:val="superscript"/>
                    </w:rPr>
                    <w:t>2</w:t>
                  </w:r>
                  <w:r>
                    <w:rPr>
                      <w:szCs w:val="21"/>
                    </w:rPr>
                    <w:t>，建筑面积</w:t>
                  </w:r>
                  <w:r>
                    <w:rPr>
                      <w:rFonts w:hint="eastAsia"/>
                      <w:szCs w:val="21"/>
                    </w:rPr>
                    <w:t>7296</w:t>
                  </w:r>
                  <w:r>
                    <w:rPr>
                      <w:szCs w:val="21"/>
                    </w:rPr>
                    <w:t>m</w:t>
                  </w:r>
                  <w:r>
                    <w:rPr>
                      <w:szCs w:val="21"/>
                      <w:vertAlign w:val="superscript"/>
                    </w:rPr>
                    <w:t>2</w:t>
                  </w:r>
                </w:p>
              </w:tc>
              <w:tc>
                <w:tcPr>
                  <w:tcW w:w="1055" w:type="pct"/>
                  <w:tcBorders>
                    <w:tl2br w:val="nil"/>
                    <w:tr2bl w:val="nil"/>
                  </w:tcBorders>
                  <w:vAlign w:val="center"/>
                </w:tcPr>
                <w:p>
                  <w:pPr>
                    <w:adjustRightInd w:val="0"/>
                    <w:snapToGrid w:val="0"/>
                    <w:jc w:val="center"/>
                    <w:rPr>
                      <w:szCs w:val="21"/>
                    </w:rPr>
                  </w:pPr>
                  <w:r>
                    <w:rPr>
                      <w:rFonts w:hint="eastAsia"/>
                      <w:szCs w:val="21"/>
                    </w:rPr>
                    <w:t>新建，主要为原味海苔生产线（3F）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4" w:hRule="atLeast"/>
                <w:jc w:val="center"/>
              </w:trPr>
              <w:tc>
                <w:tcPr>
                  <w:tcW w:w="400" w:type="pct"/>
                  <w:vMerge w:val="restart"/>
                  <w:tcBorders>
                    <w:tl2br w:val="nil"/>
                    <w:tr2bl w:val="nil"/>
                  </w:tcBorders>
                  <w:vAlign w:val="center"/>
                </w:tcPr>
                <w:p>
                  <w:pPr>
                    <w:adjustRightInd w:val="0"/>
                    <w:snapToGrid w:val="0"/>
                    <w:jc w:val="center"/>
                    <w:rPr>
                      <w:szCs w:val="21"/>
                    </w:rPr>
                  </w:pPr>
                  <w:r>
                    <w:rPr>
                      <w:rFonts w:hint="eastAsia"/>
                      <w:szCs w:val="21"/>
                    </w:rPr>
                    <w:t>储运</w:t>
                  </w:r>
                  <w:r>
                    <w:rPr>
                      <w:szCs w:val="21"/>
                    </w:rPr>
                    <w:t>工程</w:t>
                  </w:r>
                </w:p>
              </w:tc>
              <w:tc>
                <w:tcPr>
                  <w:tcW w:w="611" w:type="pct"/>
                  <w:gridSpan w:val="3"/>
                  <w:tcBorders>
                    <w:tl2br w:val="nil"/>
                    <w:tr2bl w:val="nil"/>
                  </w:tcBorders>
                  <w:vAlign w:val="center"/>
                </w:tcPr>
                <w:p>
                  <w:pPr>
                    <w:adjustRightInd w:val="0"/>
                    <w:snapToGrid w:val="0"/>
                    <w:jc w:val="center"/>
                    <w:rPr>
                      <w:szCs w:val="21"/>
                    </w:rPr>
                  </w:pPr>
                  <w:r>
                    <w:rPr>
                      <w:rFonts w:hint="eastAsia"/>
                      <w:szCs w:val="21"/>
                    </w:rPr>
                    <w:t>原料仓库</w:t>
                  </w:r>
                </w:p>
              </w:tc>
              <w:tc>
                <w:tcPr>
                  <w:tcW w:w="964" w:type="pct"/>
                  <w:tcBorders>
                    <w:tl2br w:val="nil"/>
                    <w:tr2bl w:val="nil"/>
                  </w:tcBorders>
                  <w:vAlign w:val="center"/>
                </w:tcPr>
                <w:p>
                  <w:pPr>
                    <w:adjustRightInd w:val="0"/>
                    <w:snapToGrid w:val="0"/>
                    <w:jc w:val="center"/>
                    <w:rPr>
                      <w:szCs w:val="21"/>
                    </w:rPr>
                  </w:pPr>
                  <w:r>
                    <w:rPr>
                      <w:rFonts w:hint="eastAsia"/>
                      <w:szCs w:val="21"/>
                    </w:rPr>
                    <w:t>/</w:t>
                  </w:r>
                </w:p>
              </w:tc>
              <w:tc>
                <w:tcPr>
                  <w:tcW w:w="911" w:type="pct"/>
                  <w:tcBorders>
                    <w:tl2br w:val="nil"/>
                    <w:tr2bl w:val="nil"/>
                  </w:tcBorders>
                  <w:vAlign w:val="center"/>
                </w:tcPr>
                <w:p>
                  <w:pPr>
                    <w:pStyle w:val="19"/>
                    <w:widowControl w:val="0"/>
                    <w:spacing w:before="0"/>
                    <w:jc w:val="center"/>
                    <w:rPr>
                      <w:szCs w:val="21"/>
                    </w:rPr>
                  </w:pPr>
                  <w:r>
                    <w:rPr>
                      <w:rFonts w:ascii="Times New Roman"/>
                      <w:spacing w:val="-2"/>
                      <w:kern w:val="28"/>
                      <w:sz w:val="21"/>
                      <w:szCs w:val="21"/>
                    </w:rPr>
                    <w:t>建筑面积</w:t>
                  </w:r>
                  <w:r>
                    <w:rPr>
                      <w:rFonts w:hint="eastAsia" w:ascii="Times New Roman" w:hAnsi="Times New Roman"/>
                      <w:spacing w:val="-2"/>
                      <w:kern w:val="28"/>
                      <w:sz w:val="21"/>
                      <w:szCs w:val="21"/>
                    </w:rPr>
                    <w:t>1000</w:t>
                  </w:r>
                  <w:r>
                    <w:rPr>
                      <w:rFonts w:ascii="Times New Roman" w:hAnsi="Times New Roman"/>
                      <w:spacing w:val="-2"/>
                      <w:kern w:val="28"/>
                      <w:sz w:val="21"/>
                      <w:szCs w:val="21"/>
                    </w:rPr>
                    <w:t>m</w:t>
                  </w:r>
                  <w:r>
                    <w:rPr>
                      <w:rFonts w:ascii="Times New Roman" w:hAnsi="Times New Roman"/>
                      <w:spacing w:val="-2"/>
                      <w:kern w:val="28"/>
                      <w:sz w:val="21"/>
                      <w:szCs w:val="21"/>
                      <w:vertAlign w:val="superscript"/>
                    </w:rPr>
                    <w:t>2</w:t>
                  </w:r>
                </w:p>
              </w:tc>
              <w:tc>
                <w:tcPr>
                  <w:tcW w:w="1057" w:type="pct"/>
                  <w:tcBorders>
                    <w:tl2br w:val="nil"/>
                    <w:tr2bl w:val="nil"/>
                  </w:tcBorders>
                  <w:vAlign w:val="center"/>
                </w:tcPr>
                <w:p>
                  <w:pPr>
                    <w:pStyle w:val="19"/>
                    <w:widowControl w:val="0"/>
                    <w:spacing w:before="0"/>
                    <w:jc w:val="center"/>
                    <w:rPr>
                      <w:szCs w:val="21"/>
                    </w:rPr>
                  </w:pPr>
                  <w:r>
                    <w:rPr>
                      <w:rFonts w:ascii="Times New Roman"/>
                      <w:spacing w:val="-2"/>
                      <w:kern w:val="28"/>
                      <w:sz w:val="21"/>
                      <w:szCs w:val="21"/>
                    </w:rPr>
                    <w:t>建筑面积</w:t>
                  </w:r>
                  <w:r>
                    <w:rPr>
                      <w:rFonts w:hint="eastAsia" w:ascii="Times New Roman" w:hAnsi="Times New Roman"/>
                      <w:spacing w:val="-2"/>
                      <w:kern w:val="28"/>
                      <w:sz w:val="21"/>
                      <w:szCs w:val="21"/>
                    </w:rPr>
                    <w:t>1000</w:t>
                  </w:r>
                  <w:r>
                    <w:rPr>
                      <w:rFonts w:ascii="Times New Roman" w:hAnsi="Times New Roman"/>
                      <w:spacing w:val="-2"/>
                      <w:kern w:val="28"/>
                      <w:sz w:val="21"/>
                      <w:szCs w:val="21"/>
                    </w:rPr>
                    <w:t>m</w:t>
                  </w:r>
                  <w:r>
                    <w:rPr>
                      <w:rFonts w:ascii="Times New Roman" w:hAnsi="Times New Roman"/>
                      <w:spacing w:val="-2"/>
                      <w:kern w:val="28"/>
                      <w:sz w:val="21"/>
                      <w:szCs w:val="21"/>
                      <w:vertAlign w:val="superscript"/>
                    </w:rPr>
                    <w:t>2</w:t>
                  </w:r>
                </w:p>
              </w:tc>
              <w:tc>
                <w:tcPr>
                  <w:tcW w:w="1055" w:type="pct"/>
                  <w:tcBorders>
                    <w:tl2br w:val="nil"/>
                    <w:tr2bl w:val="nil"/>
                  </w:tcBorders>
                  <w:vAlign w:val="center"/>
                </w:tcPr>
                <w:p>
                  <w:pPr>
                    <w:adjustRightInd w:val="0"/>
                    <w:snapToGrid w:val="0"/>
                    <w:spacing w:line="320" w:lineRule="exact"/>
                    <w:jc w:val="center"/>
                    <w:rPr>
                      <w:szCs w:val="21"/>
                    </w:rPr>
                  </w:pPr>
                  <w:r>
                    <w:rPr>
                      <w:rFonts w:hint="eastAsia"/>
                      <w:szCs w:val="21"/>
                    </w:rPr>
                    <w:t>新建；</w:t>
                  </w:r>
                  <w:r>
                    <w:rPr>
                      <w:szCs w:val="21"/>
                    </w:rPr>
                    <w:t>用于储藏原材料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tcBorders>
                    <w:tl2br w:val="nil"/>
                    <w:tr2bl w:val="nil"/>
                  </w:tcBorders>
                  <w:vAlign w:val="center"/>
                </w:tcPr>
                <w:p>
                  <w:pPr>
                    <w:adjustRightInd w:val="0"/>
                    <w:snapToGrid w:val="0"/>
                    <w:jc w:val="center"/>
                    <w:rPr>
                      <w:szCs w:val="21"/>
                    </w:rPr>
                  </w:pPr>
                  <w:r>
                    <w:rPr>
                      <w:rFonts w:hint="eastAsia"/>
                      <w:szCs w:val="21"/>
                    </w:rPr>
                    <w:t>成品仓库</w:t>
                  </w:r>
                </w:p>
              </w:tc>
              <w:tc>
                <w:tcPr>
                  <w:tcW w:w="964" w:type="pct"/>
                  <w:tcBorders>
                    <w:tl2br w:val="nil"/>
                    <w:tr2bl w:val="nil"/>
                  </w:tcBorders>
                  <w:vAlign w:val="center"/>
                </w:tcPr>
                <w:p>
                  <w:pPr>
                    <w:adjustRightInd w:val="0"/>
                    <w:snapToGrid w:val="0"/>
                    <w:jc w:val="center"/>
                    <w:rPr>
                      <w:szCs w:val="21"/>
                      <w:vertAlign w:val="superscript"/>
                    </w:rPr>
                  </w:pPr>
                  <w:r>
                    <w:rPr>
                      <w:rFonts w:hint="eastAsia"/>
                      <w:szCs w:val="21"/>
                    </w:rPr>
                    <w:t>/</w:t>
                  </w:r>
                </w:p>
              </w:tc>
              <w:tc>
                <w:tcPr>
                  <w:tcW w:w="911" w:type="pct"/>
                  <w:tcBorders>
                    <w:tl2br w:val="nil"/>
                    <w:tr2bl w:val="nil"/>
                  </w:tcBorders>
                  <w:vAlign w:val="center"/>
                </w:tcPr>
                <w:p>
                  <w:pPr>
                    <w:pStyle w:val="19"/>
                    <w:widowControl w:val="0"/>
                    <w:spacing w:before="0"/>
                    <w:jc w:val="center"/>
                    <w:rPr>
                      <w:szCs w:val="21"/>
                    </w:rPr>
                  </w:pPr>
                  <w:r>
                    <w:rPr>
                      <w:rFonts w:ascii="Times New Roman"/>
                      <w:spacing w:val="-2"/>
                      <w:kern w:val="28"/>
                      <w:sz w:val="21"/>
                      <w:szCs w:val="21"/>
                    </w:rPr>
                    <w:t>建筑面积</w:t>
                  </w:r>
                  <w:r>
                    <w:rPr>
                      <w:rFonts w:hint="eastAsia" w:ascii="Times New Roman" w:hAnsi="Times New Roman"/>
                      <w:spacing w:val="-2"/>
                      <w:kern w:val="28"/>
                      <w:sz w:val="21"/>
                      <w:szCs w:val="21"/>
                    </w:rPr>
                    <w:t>500</w:t>
                  </w:r>
                  <w:r>
                    <w:rPr>
                      <w:rFonts w:ascii="Times New Roman" w:hAnsi="Times New Roman"/>
                      <w:spacing w:val="-2"/>
                      <w:kern w:val="28"/>
                      <w:sz w:val="21"/>
                      <w:szCs w:val="21"/>
                    </w:rPr>
                    <w:t>m</w:t>
                  </w:r>
                  <w:r>
                    <w:rPr>
                      <w:rFonts w:ascii="Times New Roman" w:hAnsi="Times New Roman"/>
                      <w:spacing w:val="-2"/>
                      <w:kern w:val="28"/>
                      <w:sz w:val="21"/>
                      <w:szCs w:val="21"/>
                      <w:vertAlign w:val="superscript"/>
                    </w:rPr>
                    <w:t>2</w:t>
                  </w:r>
                </w:p>
              </w:tc>
              <w:tc>
                <w:tcPr>
                  <w:tcW w:w="1057" w:type="pct"/>
                  <w:tcBorders>
                    <w:tl2br w:val="nil"/>
                    <w:tr2bl w:val="nil"/>
                  </w:tcBorders>
                  <w:vAlign w:val="center"/>
                </w:tcPr>
                <w:p>
                  <w:pPr>
                    <w:pStyle w:val="19"/>
                    <w:widowControl w:val="0"/>
                    <w:spacing w:before="0"/>
                    <w:jc w:val="center"/>
                    <w:rPr>
                      <w:szCs w:val="21"/>
                    </w:rPr>
                  </w:pPr>
                  <w:r>
                    <w:rPr>
                      <w:rFonts w:ascii="Times New Roman"/>
                      <w:spacing w:val="-2"/>
                      <w:kern w:val="28"/>
                      <w:sz w:val="21"/>
                      <w:szCs w:val="21"/>
                    </w:rPr>
                    <w:t>建筑面积</w:t>
                  </w:r>
                  <w:r>
                    <w:rPr>
                      <w:rFonts w:hint="eastAsia" w:ascii="Times New Roman" w:hAnsi="Times New Roman"/>
                      <w:spacing w:val="-2"/>
                      <w:kern w:val="28"/>
                      <w:sz w:val="21"/>
                      <w:szCs w:val="21"/>
                    </w:rPr>
                    <w:t>500</w:t>
                  </w:r>
                  <w:r>
                    <w:rPr>
                      <w:rFonts w:ascii="Times New Roman" w:hAnsi="Times New Roman"/>
                      <w:spacing w:val="-2"/>
                      <w:kern w:val="28"/>
                      <w:sz w:val="21"/>
                      <w:szCs w:val="21"/>
                    </w:rPr>
                    <w:t>m</w:t>
                  </w:r>
                  <w:r>
                    <w:rPr>
                      <w:rFonts w:ascii="Times New Roman" w:hAnsi="Times New Roman"/>
                      <w:spacing w:val="-2"/>
                      <w:kern w:val="28"/>
                      <w:sz w:val="21"/>
                      <w:szCs w:val="21"/>
                      <w:vertAlign w:val="superscript"/>
                    </w:rPr>
                    <w:t>2</w:t>
                  </w:r>
                </w:p>
              </w:tc>
              <w:tc>
                <w:tcPr>
                  <w:tcW w:w="1055" w:type="pct"/>
                  <w:tcBorders>
                    <w:tl2br w:val="nil"/>
                    <w:tr2bl w:val="nil"/>
                  </w:tcBorders>
                  <w:vAlign w:val="center"/>
                </w:tcPr>
                <w:p>
                  <w:pPr>
                    <w:adjustRightInd w:val="0"/>
                    <w:snapToGrid w:val="0"/>
                    <w:spacing w:line="320" w:lineRule="exact"/>
                    <w:jc w:val="center"/>
                    <w:rPr>
                      <w:szCs w:val="21"/>
                    </w:rPr>
                  </w:pPr>
                  <w:r>
                    <w:rPr>
                      <w:rFonts w:hint="eastAsia"/>
                      <w:szCs w:val="21"/>
                    </w:rPr>
                    <w:t>新建；</w:t>
                  </w:r>
                  <w:r>
                    <w:rPr>
                      <w:szCs w:val="21"/>
                    </w:rPr>
                    <w:t>用于放置成品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27" w:hRule="atLeast"/>
                <w:jc w:val="center"/>
              </w:trPr>
              <w:tc>
                <w:tcPr>
                  <w:tcW w:w="400" w:type="pct"/>
                  <w:vMerge w:val="restart"/>
                  <w:tcBorders>
                    <w:tl2br w:val="nil"/>
                    <w:tr2bl w:val="nil"/>
                  </w:tcBorders>
                  <w:vAlign w:val="center"/>
                </w:tcPr>
                <w:p>
                  <w:pPr>
                    <w:adjustRightInd w:val="0"/>
                    <w:snapToGrid w:val="0"/>
                    <w:jc w:val="center"/>
                    <w:rPr>
                      <w:szCs w:val="21"/>
                    </w:rPr>
                  </w:pPr>
                  <w:r>
                    <w:rPr>
                      <w:szCs w:val="21"/>
                    </w:rPr>
                    <w:t>公用工程</w:t>
                  </w:r>
                </w:p>
              </w:tc>
              <w:tc>
                <w:tcPr>
                  <w:tcW w:w="611" w:type="pct"/>
                  <w:gridSpan w:val="3"/>
                  <w:tcBorders>
                    <w:tl2br w:val="nil"/>
                    <w:tr2bl w:val="nil"/>
                  </w:tcBorders>
                  <w:vAlign w:val="center"/>
                </w:tcPr>
                <w:p>
                  <w:pPr>
                    <w:adjustRightInd w:val="0"/>
                    <w:snapToGrid w:val="0"/>
                    <w:jc w:val="center"/>
                    <w:rPr>
                      <w:szCs w:val="21"/>
                    </w:rPr>
                  </w:pPr>
                  <w:r>
                    <w:rPr>
                      <w:szCs w:val="21"/>
                    </w:rPr>
                    <w:t>给水</w:t>
                  </w:r>
                </w:p>
              </w:tc>
              <w:tc>
                <w:tcPr>
                  <w:tcW w:w="964" w:type="pct"/>
                  <w:tcBorders>
                    <w:tl2br w:val="nil"/>
                    <w:tr2bl w:val="nil"/>
                  </w:tcBorders>
                  <w:vAlign w:val="center"/>
                </w:tcPr>
                <w:p>
                  <w:pPr>
                    <w:adjustRightInd w:val="0"/>
                    <w:snapToGrid w:val="0"/>
                    <w:jc w:val="center"/>
                    <w:rPr>
                      <w:szCs w:val="21"/>
                    </w:rPr>
                  </w:pPr>
                  <w:r>
                    <w:rPr>
                      <w:rFonts w:hint="eastAsia"/>
                      <w:szCs w:val="21"/>
                    </w:rPr>
                    <w:t>6080</w:t>
                  </w:r>
                  <w:r>
                    <w:rPr>
                      <w:szCs w:val="21"/>
                    </w:rPr>
                    <w:t>t/a</w:t>
                  </w:r>
                </w:p>
              </w:tc>
              <w:tc>
                <w:tcPr>
                  <w:tcW w:w="911" w:type="pct"/>
                  <w:tcBorders>
                    <w:tl2br w:val="nil"/>
                    <w:tr2bl w:val="nil"/>
                  </w:tcBorders>
                  <w:vAlign w:val="center"/>
                </w:tcPr>
                <w:p>
                  <w:pPr>
                    <w:adjustRightInd w:val="0"/>
                    <w:snapToGrid w:val="0"/>
                    <w:jc w:val="center"/>
                    <w:rPr>
                      <w:szCs w:val="21"/>
                    </w:rPr>
                  </w:pPr>
                  <w:r>
                    <w:rPr>
                      <w:rFonts w:hint="eastAsia"/>
                      <w:szCs w:val="21"/>
                    </w:rPr>
                    <w:t>9560</w:t>
                  </w:r>
                  <w:r>
                    <w:rPr>
                      <w:szCs w:val="21"/>
                    </w:rPr>
                    <w:t>t/a</w:t>
                  </w:r>
                </w:p>
              </w:tc>
              <w:tc>
                <w:tcPr>
                  <w:tcW w:w="1057" w:type="pct"/>
                  <w:tcBorders>
                    <w:tl2br w:val="nil"/>
                    <w:tr2bl w:val="nil"/>
                  </w:tcBorders>
                  <w:vAlign w:val="center"/>
                </w:tcPr>
                <w:p>
                  <w:pPr>
                    <w:adjustRightInd w:val="0"/>
                    <w:snapToGrid w:val="0"/>
                    <w:jc w:val="center"/>
                    <w:rPr>
                      <w:szCs w:val="21"/>
                    </w:rPr>
                  </w:pPr>
                  <w:r>
                    <w:rPr>
                      <w:rFonts w:hint="eastAsia"/>
                      <w:szCs w:val="21"/>
                    </w:rPr>
                    <w:t>15640</w:t>
                  </w:r>
                  <w:r>
                    <w:rPr>
                      <w:szCs w:val="21"/>
                    </w:rPr>
                    <w:t>t/a</w:t>
                  </w:r>
                </w:p>
              </w:tc>
              <w:tc>
                <w:tcPr>
                  <w:tcW w:w="1055" w:type="pct"/>
                  <w:tcBorders>
                    <w:tl2br w:val="nil"/>
                    <w:tr2bl w:val="nil"/>
                  </w:tcBorders>
                  <w:vAlign w:val="center"/>
                </w:tcPr>
                <w:p>
                  <w:pPr>
                    <w:adjustRightInd w:val="0"/>
                    <w:snapToGrid w:val="0"/>
                    <w:jc w:val="center"/>
                    <w:rPr>
                      <w:szCs w:val="21"/>
                    </w:rPr>
                  </w:pPr>
                  <w:r>
                    <w:rPr>
                      <w:szCs w:val="21"/>
                    </w:rPr>
                    <w:t>来自市政自来水管网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tcBorders>
                    <w:tl2br w:val="nil"/>
                    <w:tr2bl w:val="nil"/>
                  </w:tcBorders>
                  <w:vAlign w:val="center"/>
                </w:tcPr>
                <w:p>
                  <w:pPr>
                    <w:adjustRightInd w:val="0"/>
                    <w:snapToGrid w:val="0"/>
                    <w:jc w:val="center"/>
                    <w:rPr>
                      <w:szCs w:val="21"/>
                    </w:rPr>
                  </w:pPr>
                  <w:r>
                    <w:rPr>
                      <w:szCs w:val="21"/>
                    </w:rPr>
                    <w:t>排水</w:t>
                  </w:r>
                </w:p>
              </w:tc>
              <w:tc>
                <w:tcPr>
                  <w:tcW w:w="964" w:type="pct"/>
                  <w:tcBorders>
                    <w:tl2br w:val="nil"/>
                    <w:tr2bl w:val="nil"/>
                  </w:tcBorders>
                  <w:vAlign w:val="center"/>
                </w:tcPr>
                <w:p>
                  <w:pPr>
                    <w:adjustRightInd w:val="0"/>
                    <w:snapToGrid w:val="0"/>
                    <w:jc w:val="center"/>
                    <w:rPr>
                      <w:szCs w:val="21"/>
                    </w:rPr>
                  </w:pPr>
                  <w:r>
                    <w:rPr>
                      <w:rFonts w:hint="eastAsia"/>
                      <w:szCs w:val="21"/>
                    </w:rPr>
                    <w:t>5440</w:t>
                  </w:r>
                  <w:r>
                    <w:rPr>
                      <w:szCs w:val="21"/>
                    </w:rPr>
                    <w:t>t/a</w:t>
                  </w:r>
                </w:p>
              </w:tc>
              <w:tc>
                <w:tcPr>
                  <w:tcW w:w="911" w:type="pct"/>
                  <w:tcBorders>
                    <w:tl2br w:val="nil"/>
                    <w:tr2bl w:val="nil"/>
                  </w:tcBorders>
                  <w:vAlign w:val="center"/>
                </w:tcPr>
                <w:p>
                  <w:pPr>
                    <w:adjustRightInd w:val="0"/>
                    <w:snapToGrid w:val="0"/>
                    <w:jc w:val="center"/>
                    <w:rPr>
                      <w:szCs w:val="21"/>
                    </w:rPr>
                  </w:pPr>
                  <w:r>
                    <w:rPr>
                      <w:rFonts w:hint="eastAsia"/>
                      <w:szCs w:val="21"/>
                    </w:rPr>
                    <w:t>7920</w:t>
                  </w:r>
                  <w:r>
                    <w:rPr>
                      <w:szCs w:val="21"/>
                    </w:rPr>
                    <w:t>t/a</w:t>
                  </w:r>
                </w:p>
              </w:tc>
              <w:tc>
                <w:tcPr>
                  <w:tcW w:w="1057" w:type="pct"/>
                  <w:tcBorders>
                    <w:tl2br w:val="nil"/>
                    <w:tr2bl w:val="nil"/>
                  </w:tcBorders>
                  <w:vAlign w:val="center"/>
                </w:tcPr>
                <w:p>
                  <w:pPr>
                    <w:adjustRightInd w:val="0"/>
                    <w:snapToGrid w:val="0"/>
                    <w:jc w:val="center"/>
                    <w:rPr>
                      <w:szCs w:val="21"/>
                    </w:rPr>
                  </w:pPr>
                  <w:r>
                    <w:rPr>
                      <w:rFonts w:hint="eastAsia"/>
                      <w:szCs w:val="21"/>
                    </w:rPr>
                    <w:t>13360</w:t>
                  </w:r>
                  <w:r>
                    <w:rPr>
                      <w:szCs w:val="21"/>
                    </w:rPr>
                    <w:t>t/a</w:t>
                  </w:r>
                </w:p>
              </w:tc>
              <w:tc>
                <w:tcPr>
                  <w:tcW w:w="1055" w:type="pct"/>
                  <w:tcBorders>
                    <w:tl2br w:val="nil"/>
                    <w:tr2bl w:val="nil"/>
                  </w:tcBorders>
                  <w:vAlign w:val="center"/>
                </w:tcPr>
                <w:p>
                  <w:pPr>
                    <w:adjustRightInd w:val="0"/>
                    <w:snapToGrid w:val="0"/>
                    <w:jc w:val="center"/>
                    <w:rPr>
                      <w:szCs w:val="21"/>
                    </w:rPr>
                  </w:pPr>
                  <w:r>
                    <w:rPr>
                      <w:rFonts w:hint="eastAsia"/>
                      <w:szCs w:val="21"/>
                    </w:rPr>
                    <w:t>经化粪池+污水处理站处理后由污水管网接管滁州市第二污水处理厂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tcBorders>
                    <w:tl2br w:val="nil"/>
                    <w:tr2bl w:val="nil"/>
                  </w:tcBorders>
                  <w:vAlign w:val="center"/>
                </w:tcPr>
                <w:p>
                  <w:pPr>
                    <w:adjustRightInd w:val="0"/>
                    <w:snapToGrid w:val="0"/>
                    <w:jc w:val="center"/>
                    <w:rPr>
                      <w:szCs w:val="21"/>
                    </w:rPr>
                  </w:pPr>
                  <w:r>
                    <w:rPr>
                      <w:szCs w:val="21"/>
                    </w:rPr>
                    <w:t>供电</w:t>
                  </w:r>
                </w:p>
              </w:tc>
              <w:tc>
                <w:tcPr>
                  <w:tcW w:w="964" w:type="pct"/>
                  <w:tcBorders>
                    <w:tl2br w:val="nil"/>
                    <w:tr2bl w:val="nil"/>
                  </w:tcBorders>
                  <w:vAlign w:val="center"/>
                </w:tcPr>
                <w:p>
                  <w:pPr>
                    <w:adjustRightInd w:val="0"/>
                    <w:snapToGrid w:val="0"/>
                    <w:jc w:val="center"/>
                    <w:rPr>
                      <w:szCs w:val="21"/>
                    </w:rPr>
                  </w:pPr>
                  <w:r>
                    <w:rPr>
                      <w:rFonts w:hint="eastAsia"/>
                      <w:szCs w:val="21"/>
                    </w:rPr>
                    <w:t>125</w:t>
                  </w:r>
                  <w:r>
                    <w:rPr>
                      <w:szCs w:val="21"/>
                    </w:rPr>
                    <w:t>万kWh/a</w:t>
                  </w:r>
                </w:p>
              </w:tc>
              <w:tc>
                <w:tcPr>
                  <w:tcW w:w="911" w:type="pct"/>
                  <w:tcBorders>
                    <w:tl2br w:val="nil"/>
                    <w:tr2bl w:val="nil"/>
                  </w:tcBorders>
                  <w:vAlign w:val="center"/>
                </w:tcPr>
                <w:p>
                  <w:pPr>
                    <w:adjustRightInd w:val="0"/>
                    <w:snapToGrid w:val="0"/>
                    <w:jc w:val="center"/>
                    <w:rPr>
                      <w:szCs w:val="21"/>
                    </w:rPr>
                  </w:pPr>
                  <w:r>
                    <w:rPr>
                      <w:rFonts w:hint="eastAsia"/>
                      <w:szCs w:val="21"/>
                    </w:rPr>
                    <w:t>120</w:t>
                  </w:r>
                  <w:r>
                    <w:rPr>
                      <w:szCs w:val="21"/>
                    </w:rPr>
                    <w:t>万kWh/a</w:t>
                  </w:r>
                </w:p>
              </w:tc>
              <w:tc>
                <w:tcPr>
                  <w:tcW w:w="1057" w:type="pct"/>
                  <w:tcBorders>
                    <w:tl2br w:val="nil"/>
                    <w:tr2bl w:val="nil"/>
                  </w:tcBorders>
                  <w:vAlign w:val="center"/>
                </w:tcPr>
                <w:p>
                  <w:pPr>
                    <w:adjustRightInd w:val="0"/>
                    <w:snapToGrid w:val="0"/>
                    <w:jc w:val="center"/>
                    <w:rPr>
                      <w:szCs w:val="21"/>
                    </w:rPr>
                  </w:pPr>
                  <w:r>
                    <w:rPr>
                      <w:rFonts w:hint="eastAsia"/>
                      <w:szCs w:val="21"/>
                    </w:rPr>
                    <w:t>245</w:t>
                  </w:r>
                  <w:r>
                    <w:rPr>
                      <w:szCs w:val="21"/>
                    </w:rPr>
                    <w:t>万kWh/a</w:t>
                  </w:r>
                </w:p>
              </w:tc>
              <w:tc>
                <w:tcPr>
                  <w:tcW w:w="1055" w:type="pct"/>
                  <w:tcBorders>
                    <w:tl2br w:val="nil"/>
                    <w:tr2bl w:val="nil"/>
                  </w:tcBorders>
                  <w:vAlign w:val="center"/>
                </w:tcPr>
                <w:p>
                  <w:pPr>
                    <w:adjustRightInd w:val="0"/>
                    <w:snapToGrid w:val="0"/>
                    <w:jc w:val="center"/>
                    <w:rPr>
                      <w:szCs w:val="21"/>
                    </w:rPr>
                  </w:pPr>
                  <w:r>
                    <w:rPr>
                      <w:rFonts w:hint="eastAsia"/>
                      <w:szCs w:val="21"/>
                    </w:rPr>
                    <w:t>园区</w:t>
                  </w:r>
                  <w:r>
                    <w:rPr>
                      <w:szCs w:val="21"/>
                    </w:rPr>
                    <w:t>供电管网提供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tcBorders>
                    <w:tl2br w:val="nil"/>
                    <w:tr2bl w:val="nil"/>
                  </w:tcBorders>
                  <w:vAlign w:val="center"/>
                </w:tcPr>
                <w:p>
                  <w:pPr>
                    <w:adjustRightInd w:val="0"/>
                    <w:snapToGrid w:val="0"/>
                    <w:jc w:val="center"/>
                    <w:rPr>
                      <w:szCs w:val="21"/>
                    </w:rPr>
                  </w:pPr>
                  <w:r>
                    <w:rPr>
                      <w:rFonts w:hint="eastAsia"/>
                      <w:szCs w:val="21"/>
                    </w:rPr>
                    <w:t>供气</w:t>
                  </w:r>
                </w:p>
              </w:tc>
              <w:tc>
                <w:tcPr>
                  <w:tcW w:w="964" w:type="pct"/>
                  <w:tcBorders>
                    <w:tl2br w:val="nil"/>
                    <w:tr2bl w:val="nil"/>
                  </w:tcBorders>
                  <w:vAlign w:val="center"/>
                </w:tcPr>
                <w:p>
                  <w:pPr>
                    <w:adjustRightInd w:val="0"/>
                    <w:snapToGrid w:val="0"/>
                    <w:jc w:val="center"/>
                    <w:rPr>
                      <w:szCs w:val="21"/>
                    </w:rPr>
                  </w:pPr>
                  <w:r>
                    <w:rPr>
                      <w:rFonts w:hint="eastAsia"/>
                      <w:szCs w:val="21"/>
                    </w:rPr>
                    <w:t>89600m</w:t>
                  </w:r>
                  <w:r>
                    <w:rPr>
                      <w:rFonts w:hint="eastAsia"/>
                      <w:szCs w:val="21"/>
                      <w:vertAlign w:val="superscript"/>
                    </w:rPr>
                    <w:t>3</w:t>
                  </w:r>
                  <w:r>
                    <w:rPr>
                      <w:rFonts w:hint="eastAsia"/>
                      <w:szCs w:val="21"/>
                    </w:rPr>
                    <w:t>/a</w:t>
                  </w:r>
                </w:p>
              </w:tc>
              <w:tc>
                <w:tcPr>
                  <w:tcW w:w="911" w:type="pct"/>
                  <w:tcBorders>
                    <w:tl2br w:val="nil"/>
                    <w:tr2bl w:val="nil"/>
                  </w:tcBorders>
                  <w:vAlign w:val="center"/>
                </w:tcPr>
                <w:p>
                  <w:pPr>
                    <w:adjustRightInd w:val="0"/>
                    <w:snapToGrid w:val="0"/>
                    <w:jc w:val="center"/>
                    <w:rPr>
                      <w:szCs w:val="21"/>
                    </w:rPr>
                  </w:pPr>
                  <w:r>
                    <w:rPr>
                      <w:rFonts w:hint="eastAsia"/>
                      <w:szCs w:val="21"/>
                    </w:rPr>
                    <w:t>/</w:t>
                  </w:r>
                </w:p>
              </w:tc>
              <w:tc>
                <w:tcPr>
                  <w:tcW w:w="1057" w:type="pct"/>
                  <w:tcBorders>
                    <w:tl2br w:val="nil"/>
                    <w:tr2bl w:val="nil"/>
                  </w:tcBorders>
                  <w:vAlign w:val="center"/>
                </w:tcPr>
                <w:p>
                  <w:pPr>
                    <w:adjustRightInd w:val="0"/>
                    <w:snapToGrid w:val="0"/>
                    <w:jc w:val="center"/>
                    <w:rPr>
                      <w:szCs w:val="21"/>
                    </w:rPr>
                  </w:pPr>
                  <w:r>
                    <w:rPr>
                      <w:rFonts w:hint="eastAsia"/>
                      <w:szCs w:val="21"/>
                    </w:rPr>
                    <w:t>89600m</w:t>
                  </w:r>
                  <w:r>
                    <w:rPr>
                      <w:rFonts w:hint="eastAsia"/>
                      <w:szCs w:val="21"/>
                      <w:vertAlign w:val="superscript"/>
                    </w:rPr>
                    <w:t>3</w:t>
                  </w:r>
                  <w:r>
                    <w:rPr>
                      <w:rFonts w:hint="eastAsia"/>
                      <w:szCs w:val="21"/>
                    </w:rPr>
                    <w:t>/a</w:t>
                  </w:r>
                </w:p>
              </w:tc>
              <w:tc>
                <w:tcPr>
                  <w:tcW w:w="1055" w:type="pct"/>
                  <w:tcBorders>
                    <w:tl2br w:val="nil"/>
                    <w:tr2bl w:val="nil"/>
                  </w:tcBorders>
                  <w:vAlign w:val="center"/>
                </w:tcPr>
                <w:p>
                  <w:pPr>
                    <w:adjustRightInd w:val="0"/>
                    <w:snapToGrid w:val="0"/>
                    <w:jc w:val="center"/>
                    <w:rPr>
                      <w:szCs w:val="21"/>
                    </w:rPr>
                  </w:pPr>
                  <w:r>
                    <w:rPr>
                      <w:rFonts w:hint="eastAsia"/>
                      <w:szCs w:val="21"/>
                    </w:rPr>
                    <w:t>主要作为煮料工序需要的热源；由园区</w:t>
                  </w:r>
                  <w:r>
                    <w:rPr>
                      <w:szCs w:val="21"/>
                    </w:rPr>
                    <w:t>供</w:t>
                  </w:r>
                  <w:r>
                    <w:rPr>
                      <w:rFonts w:hint="eastAsia"/>
                      <w:szCs w:val="21"/>
                    </w:rPr>
                    <w:t>气</w:t>
                  </w:r>
                  <w:r>
                    <w:rPr>
                      <w:szCs w:val="21"/>
                    </w:rPr>
                    <w:t>管网提供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00" w:type="pct"/>
                  <w:vMerge w:val="restart"/>
                  <w:tcBorders>
                    <w:tl2br w:val="nil"/>
                    <w:tr2bl w:val="nil"/>
                  </w:tcBorders>
                  <w:vAlign w:val="center"/>
                </w:tcPr>
                <w:p>
                  <w:pPr>
                    <w:adjustRightInd w:val="0"/>
                    <w:snapToGrid w:val="0"/>
                    <w:jc w:val="center"/>
                    <w:rPr>
                      <w:szCs w:val="21"/>
                    </w:rPr>
                  </w:pPr>
                  <w:r>
                    <w:rPr>
                      <w:szCs w:val="21"/>
                    </w:rPr>
                    <w:t>环保工程</w:t>
                  </w:r>
                </w:p>
              </w:tc>
              <w:tc>
                <w:tcPr>
                  <w:tcW w:w="611" w:type="pct"/>
                  <w:gridSpan w:val="3"/>
                  <w:tcBorders>
                    <w:tl2br w:val="nil"/>
                    <w:tr2bl w:val="nil"/>
                  </w:tcBorders>
                  <w:vAlign w:val="center"/>
                </w:tcPr>
                <w:p>
                  <w:pPr>
                    <w:adjustRightInd w:val="0"/>
                    <w:snapToGrid w:val="0"/>
                    <w:jc w:val="center"/>
                    <w:rPr>
                      <w:szCs w:val="21"/>
                    </w:rPr>
                  </w:pPr>
                  <w:r>
                    <w:rPr>
                      <w:szCs w:val="21"/>
                    </w:rPr>
                    <w:t>废水治理</w:t>
                  </w:r>
                </w:p>
              </w:tc>
              <w:tc>
                <w:tcPr>
                  <w:tcW w:w="964" w:type="pct"/>
                  <w:tcBorders>
                    <w:tl2br w:val="nil"/>
                    <w:tr2bl w:val="nil"/>
                  </w:tcBorders>
                  <w:vAlign w:val="center"/>
                </w:tcPr>
                <w:p>
                  <w:pPr>
                    <w:adjustRightInd w:val="0"/>
                    <w:snapToGrid w:val="0"/>
                    <w:jc w:val="center"/>
                    <w:rPr>
                      <w:szCs w:val="21"/>
                    </w:rPr>
                  </w:pPr>
                  <w:r>
                    <w:rPr>
                      <w:rFonts w:hint="eastAsia"/>
                      <w:szCs w:val="21"/>
                    </w:rPr>
                    <w:t>化粪池+</w:t>
                  </w:r>
                  <w:r>
                    <w:rPr>
                      <w:rFonts w:hAnsi="宋体"/>
                      <w:szCs w:val="21"/>
                    </w:rPr>
                    <w:t>污水处理站</w:t>
                  </w:r>
                  <w:r>
                    <w:rPr>
                      <w:rFonts w:hint="eastAsia"/>
                      <w:szCs w:val="21"/>
                    </w:rPr>
                    <w:t>，100m</w:t>
                  </w:r>
                  <w:r>
                    <w:rPr>
                      <w:rFonts w:hint="eastAsia"/>
                      <w:szCs w:val="21"/>
                      <w:vertAlign w:val="superscript"/>
                    </w:rPr>
                    <w:t>3</w:t>
                  </w:r>
                  <w:r>
                    <w:rPr>
                      <w:rFonts w:hint="eastAsia"/>
                      <w:szCs w:val="21"/>
                    </w:rPr>
                    <w:t>/d</w:t>
                  </w:r>
                </w:p>
              </w:tc>
              <w:tc>
                <w:tcPr>
                  <w:tcW w:w="911" w:type="pct"/>
                  <w:tcBorders>
                    <w:tl2br w:val="nil"/>
                    <w:tr2bl w:val="nil"/>
                  </w:tcBorders>
                  <w:vAlign w:val="center"/>
                </w:tcPr>
                <w:p>
                  <w:pPr>
                    <w:adjustRightInd w:val="0"/>
                    <w:snapToGrid w:val="0"/>
                    <w:jc w:val="center"/>
                    <w:rPr>
                      <w:szCs w:val="21"/>
                    </w:rPr>
                  </w:pPr>
                  <w:r>
                    <w:rPr>
                      <w:rFonts w:hint="eastAsia"/>
                      <w:szCs w:val="21"/>
                    </w:rPr>
                    <w:t>依托现有</w:t>
                  </w:r>
                </w:p>
              </w:tc>
              <w:tc>
                <w:tcPr>
                  <w:tcW w:w="1057" w:type="pct"/>
                  <w:tcBorders>
                    <w:tl2br w:val="nil"/>
                    <w:tr2bl w:val="nil"/>
                  </w:tcBorders>
                  <w:vAlign w:val="center"/>
                </w:tcPr>
                <w:p>
                  <w:pPr>
                    <w:adjustRightInd w:val="0"/>
                    <w:snapToGrid w:val="0"/>
                    <w:jc w:val="center"/>
                    <w:rPr>
                      <w:szCs w:val="21"/>
                    </w:rPr>
                  </w:pPr>
                  <w:r>
                    <w:rPr>
                      <w:rFonts w:hint="eastAsia"/>
                      <w:szCs w:val="21"/>
                    </w:rPr>
                    <w:t>化粪池+</w:t>
                  </w:r>
                  <w:r>
                    <w:rPr>
                      <w:rFonts w:hAnsi="宋体"/>
                      <w:szCs w:val="21"/>
                    </w:rPr>
                    <w:t>污水处理站</w:t>
                  </w:r>
                  <w:r>
                    <w:rPr>
                      <w:rFonts w:hint="eastAsia"/>
                      <w:szCs w:val="21"/>
                    </w:rPr>
                    <w:t>，100m</w:t>
                  </w:r>
                  <w:r>
                    <w:rPr>
                      <w:rFonts w:hint="eastAsia"/>
                      <w:szCs w:val="21"/>
                      <w:vertAlign w:val="superscript"/>
                    </w:rPr>
                    <w:t>3</w:t>
                  </w:r>
                  <w:r>
                    <w:rPr>
                      <w:rFonts w:hint="eastAsia"/>
                      <w:szCs w:val="21"/>
                    </w:rPr>
                    <w:t>/d</w:t>
                  </w:r>
                </w:p>
              </w:tc>
              <w:tc>
                <w:tcPr>
                  <w:tcW w:w="1055" w:type="pct"/>
                  <w:tcBorders>
                    <w:tl2br w:val="nil"/>
                    <w:tr2bl w:val="nil"/>
                  </w:tcBorders>
                  <w:vAlign w:val="center"/>
                </w:tcPr>
                <w:p>
                  <w:pPr>
                    <w:adjustRightInd w:val="0"/>
                    <w:snapToGrid w:val="0"/>
                    <w:jc w:val="center"/>
                    <w:rPr>
                      <w:szCs w:val="21"/>
                    </w:rPr>
                  </w:pPr>
                  <w:r>
                    <w:rPr>
                      <w:rFonts w:hint="eastAsia"/>
                      <w:szCs w:val="21"/>
                    </w:rPr>
                    <w:t>《污水综合排放标准》（GB8978-1996）表4中三级标准后接管至滁州市第二污水处理厂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0" w:type="pct"/>
                  <w:vMerge w:val="continue"/>
                  <w:tcBorders>
                    <w:tl2br w:val="nil"/>
                    <w:tr2bl w:val="nil"/>
                  </w:tcBorders>
                  <w:vAlign w:val="center"/>
                </w:tcPr>
                <w:p>
                  <w:pPr>
                    <w:adjustRightInd w:val="0"/>
                    <w:snapToGrid w:val="0"/>
                    <w:jc w:val="center"/>
                    <w:rPr>
                      <w:szCs w:val="21"/>
                    </w:rPr>
                  </w:pPr>
                </w:p>
              </w:tc>
              <w:tc>
                <w:tcPr>
                  <w:tcW w:w="274" w:type="pct"/>
                  <w:gridSpan w:val="2"/>
                  <w:vMerge w:val="restart"/>
                  <w:tcBorders>
                    <w:tl2br w:val="nil"/>
                    <w:tr2bl w:val="nil"/>
                  </w:tcBorders>
                  <w:vAlign w:val="center"/>
                </w:tcPr>
                <w:p>
                  <w:pPr>
                    <w:adjustRightInd w:val="0"/>
                    <w:snapToGrid w:val="0"/>
                    <w:jc w:val="center"/>
                    <w:rPr>
                      <w:szCs w:val="21"/>
                    </w:rPr>
                  </w:pPr>
                  <w:r>
                    <w:rPr>
                      <w:szCs w:val="21"/>
                    </w:rPr>
                    <w:t>废气处理</w:t>
                  </w:r>
                </w:p>
              </w:tc>
              <w:tc>
                <w:tcPr>
                  <w:tcW w:w="336" w:type="pct"/>
                  <w:tcBorders>
                    <w:tl2br w:val="nil"/>
                    <w:tr2bl w:val="nil"/>
                  </w:tcBorders>
                  <w:vAlign w:val="center"/>
                </w:tcPr>
                <w:p>
                  <w:pPr>
                    <w:adjustRightInd w:val="0"/>
                    <w:snapToGrid w:val="0"/>
                    <w:jc w:val="center"/>
                    <w:rPr>
                      <w:szCs w:val="21"/>
                    </w:rPr>
                  </w:pPr>
                  <w:r>
                    <w:rPr>
                      <w:rFonts w:hint="eastAsia"/>
                      <w:szCs w:val="21"/>
                    </w:rPr>
                    <w:t>天然气燃烧废气</w:t>
                  </w:r>
                </w:p>
              </w:tc>
              <w:tc>
                <w:tcPr>
                  <w:tcW w:w="964" w:type="pct"/>
                  <w:tcBorders>
                    <w:tl2br w:val="nil"/>
                    <w:tr2bl w:val="nil"/>
                  </w:tcBorders>
                  <w:vAlign w:val="center"/>
                </w:tcPr>
                <w:p>
                  <w:pPr>
                    <w:adjustRightInd w:val="0"/>
                    <w:snapToGrid w:val="0"/>
                    <w:jc w:val="center"/>
                    <w:rPr>
                      <w:szCs w:val="21"/>
                    </w:rPr>
                  </w:pPr>
                  <w:r>
                    <w:rPr>
                      <w:rFonts w:hint="eastAsia"/>
                      <w:szCs w:val="21"/>
                    </w:rPr>
                    <w:t>天然气锅炉燃烧废气+1根15m高1#排气筒排放</w:t>
                  </w:r>
                </w:p>
              </w:tc>
              <w:tc>
                <w:tcPr>
                  <w:tcW w:w="911" w:type="pct"/>
                  <w:tcBorders>
                    <w:tl2br w:val="nil"/>
                    <w:tr2bl w:val="nil"/>
                  </w:tcBorders>
                  <w:vAlign w:val="center"/>
                </w:tcPr>
                <w:p>
                  <w:pPr>
                    <w:adjustRightInd w:val="0"/>
                    <w:snapToGrid w:val="0"/>
                    <w:jc w:val="center"/>
                    <w:rPr>
                      <w:szCs w:val="21"/>
                    </w:rPr>
                  </w:pPr>
                  <w:r>
                    <w:rPr>
                      <w:rFonts w:hint="eastAsia"/>
                      <w:szCs w:val="21"/>
                    </w:rPr>
                    <w:t>/</w:t>
                  </w:r>
                </w:p>
              </w:tc>
              <w:tc>
                <w:tcPr>
                  <w:tcW w:w="1057" w:type="pct"/>
                  <w:tcBorders>
                    <w:tl2br w:val="nil"/>
                    <w:tr2bl w:val="nil"/>
                  </w:tcBorders>
                  <w:vAlign w:val="center"/>
                </w:tcPr>
                <w:p>
                  <w:pPr>
                    <w:adjustRightInd w:val="0"/>
                    <w:snapToGrid w:val="0"/>
                    <w:jc w:val="center"/>
                    <w:rPr>
                      <w:szCs w:val="21"/>
                    </w:rPr>
                  </w:pPr>
                  <w:r>
                    <w:rPr>
                      <w:rFonts w:hint="eastAsia"/>
                      <w:szCs w:val="21"/>
                    </w:rPr>
                    <w:t>天然气锅炉配低氮燃烧器+1根15m高1#排气筒排放</w:t>
                  </w:r>
                </w:p>
              </w:tc>
              <w:tc>
                <w:tcPr>
                  <w:tcW w:w="1055" w:type="pct"/>
                  <w:vMerge w:val="restart"/>
                  <w:tcBorders>
                    <w:tl2br w:val="nil"/>
                    <w:tr2bl w:val="nil"/>
                  </w:tcBorders>
                  <w:vAlign w:val="center"/>
                </w:tcPr>
                <w:p>
                  <w:pPr>
                    <w:adjustRightInd w:val="0"/>
                    <w:snapToGrid w:val="0"/>
                    <w:jc w:val="center"/>
                    <w:rPr>
                      <w:szCs w:val="21"/>
                    </w:rPr>
                  </w:pPr>
                  <w:r>
                    <w:rPr>
                      <w:szCs w:val="21"/>
                    </w:rPr>
                    <w:t>达标排放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5" w:hRule="atLeast"/>
                <w:jc w:val="center"/>
              </w:trPr>
              <w:tc>
                <w:tcPr>
                  <w:tcW w:w="400" w:type="pct"/>
                  <w:vMerge w:val="continue"/>
                  <w:tcBorders>
                    <w:tl2br w:val="nil"/>
                    <w:tr2bl w:val="nil"/>
                  </w:tcBorders>
                  <w:vAlign w:val="center"/>
                </w:tcPr>
                <w:p>
                  <w:pPr>
                    <w:adjustRightInd w:val="0"/>
                    <w:snapToGrid w:val="0"/>
                    <w:jc w:val="center"/>
                    <w:rPr>
                      <w:szCs w:val="21"/>
                    </w:rPr>
                  </w:pPr>
                </w:p>
              </w:tc>
              <w:tc>
                <w:tcPr>
                  <w:tcW w:w="274" w:type="pct"/>
                  <w:gridSpan w:val="2"/>
                  <w:vMerge w:val="continue"/>
                  <w:tcBorders>
                    <w:tl2br w:val="nil"/>
                    <w:tr2bl w:val="nil"/>
                  </w:tcBorders>
                  <w:vAlign w:val="center"/>
                </w:tcPr>
                <w:p>
                  <w:pPr>
                    <w:adjustRightInd w:val="0"/>
                    <w:snapToGrid w:val="0"/>
                    <w:jc w:val="center"/>
                    <w:rPr>
                      <w:szCs w:val="21"/>
                    </w:rPr>
                  </w:pPr>
                </w:p>
              </w:tc>
              <w:tc>
                <w:tcPr>
                  <w:tcW w:w="336" w:type="pct"/>
                  <w:tcBorders>
                    <w:tl2br w:val="nil"/>
                    <w:tr2bl w:val="nil"/>
                  </w:tcBorders>
                  <w:vAlign w:val="center"/>
                </w:tcPr>
                <w:p>
                  <w:pPr>
                    <w:adjustRightInd w:val="0"/>
                    <w:snapToGrid w:val="0"/>
                    <w:jc w:val="center"/>
                    <w:rPr>
                      <w:szCs w:val="21"/>
                    </w:rPr>
                  </w:pPr>
                  <w:r>
                    <w:rPr>
                      <w:rFonts w:hint="eastAsia"/>
                      <w:szCs w:val="21"/>
                    </w:rPr>
                    <w:t>干燥蒸煮工序水蒸气</w:t>
                  </w:r>
                </w:p>
              </w:tc>
              <w:tc>
                <w:tcPr>
                  <w:tcW w:w="964" w:type="pct"/>
                  <w:tcBorders>
                    <w:tl2br w:val="nil"/>
                    <w:tr2bl w:val="nil"/>
                  </w:tcBorders>
                  <w:vAlign w:val="center"/>
                </w:tcPr>
                <w:p>
                  <w:pPr>
                    <w:adjustRightInd w:val="0"/>
                    <w:snapToGrid w:val="0"/>
                    <w:jc w:val="center"/>
                    <w:rPr>
                      <w:szCs w:val="21"/>
                    </w:rPr>
                  </w:pPr>
                  <w:r>
                    <w:rPr>
                      <w:rFonts w:hint="eastAsia"/>
                      <w:szCs w:val="21"/>
                    </w:rPr>
                    <w:t>采用集气罩收集后用风机抽</w:t>
                  </w:r>
                </w:p>
                <w:p>
                  <w:pPr>
                    <w:adjustRightInd w:val="0"/>
                    <w:snapToGrid w:val="0"/>
                    <w:jc w:val="center"/>
                    <w:rPr>
                      <w:szCs w:val="21"/>
                    </w:rPr>
                  </w:pPr>
                  <w:r>
                    <w:rPr>
                      <w:rFonts w:hint="eastAsia"/>
                      <w:szCs w:val="21"/>
                    </w:rPr>
                    <w:t>出,从车间侧壁排放</w:t>
                  </w:r>
                </w:p>
              </w:tc>
              <w:tc>
                <w:tcPr>
                  <w:tcW w:w="911" w:type="pct"/>
                  <w:tcBorders>
                    <w:tl2br w:val="nil"/>
                    <w:tr2bl w:val="nil"/>
                  </w:tcBorders>
                  <w:vAlign w:val="center"/>
                </w:tcPr>
                <w:p>
                  <w:pPr>
                    <w:adjustRightInd w:val="0"/>
                    <w:snapToGrid w:val="0"/>
                    <w:jc w:val="center"/>
                    <w:rPr>
                      <w:szCs w:val="21"/>
                    </w:rPr>
                  </w:pPr>
                  <w:r>
                    <w:rPr>
                      <w:rFonts w:hint="eastAsia"/>
                      <w:szCs w:val="21"/>
                    </w:rPr>
                    <w:t>采用集气罩收集后用风机抽</w:t>
                  </w:r>
                </w:p>
                <w:p>
                  <w:pPr>
                    <w:adjustRightInd w:val="0"/>
                    <w:snapToGrid w:val="0"/>
                    <w:jc w:val="center"/>
                    <w:rPr>
                      <w:szCs w:val="21"/>
                    </w:rPr>
                  </w:pPr>
                  <w:r>
                    <w:rPr>
                      <w:rFonts w:hint="eastAsia"/>
                      <w:szCs w:val="21"/>
                    </w:rPr>
                    <w:t>出,从车间侧壁排放</w:t>
                  </w:r>
                </w:p>
              </w:tc>
              <w:tc>
                <w:tcPr>
                  <w:tcW w:w="1057" w:type="pct"/>
                  <w:tcBorders>
                    <w:tl2br w:val="nil"/>
                    <w:tr2bl w:val="nil"/>
                  </w:tcBorders>
                  <w:vAlign w:val="center"/>
                </w:tcPr>
                <w:p>
                  <w:pPr>
                    <w:adjustRightInd w:val="0"/>
                    <w:snapToGrid w:val="0"/>
                    <w:jc w:val="center"/>
                    <w:rPr>
                      <w:szCs w:val="21"/>
                    </w:rPr>
                  </w:pPr>
                  <w:r>
                    <w:rPr>
                      <w:rFonts w:hint="eastAsia"/>
                      <w:szCs w:val="21"/>
                    </w:rPr>
                    <w:t>采用集气罩收集后用风机抽</w:t>
                  </w:r>
                </w:p>
                <w:p>
                  <w:pPr>
                    <w:adjustRightInd w:val="0"/>
                    <w:snapToGrid w:val="0"/>
                    <w:jc w:val="center"/>
                    <w:rPr>
                      <w:szCs w:val="21"/>
                    </w:rPr>
                  </w:pPr>
                  <w:r>
                    <w:rPr>
                      <w:rFonts w:hint="eastAsia"/>
                      <w:szCs w:val="21"/>
                    </w:rPr>
                    <w:t>出,从车间侧壁排放</w:t>
                  </w:r>
                </w:p>
              </w:tc>
              <w:tc>
                <w:tcPr>
                  <w:tcW w:w="1055" w:type="pct"/>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5" w:hRule="atLeast"/>
                <w:jc w:val="center"/>
              </w:trPr>
              <w:tc>
                <w:tcPr>
                  <w:tcW w:w="400" w:type="pct"/>
                  <w:vMerge w:val="continue"/>
                  <w:tcBorders>
                    <w:tl2br w:val="nil"/>
                    <w:tr2bl w:val="nil"/>
                  </w:tcBorders>
                  <w:vAlign w:val="center"/>
                </w:tcPr>
                <w:p>
                  <w:pPr>
                    <w:adjustRightInd w:val="0"/>
                    <w:snapToGrid w:val="0"/>
                    <w:jc w:val="center"/>
                    <w:rPr>
                      <w:szCs w:val="21"/>
                    </w:rPr>
                  </w:pPr>
                </w:p>
              </w:tc>
              <w:tc>
                <w:tcPr>
                  <w:tcW w:w="274" w:type="pct"/>
                  <w:gridSpan w:val="2"/>
                  <w:vMerge w:val="continue"/>
                  <w:tcBorders>
                    <w:tl2br w:val="nil"/>
                    <w:tr2bl w:val="nil"/>
                  </w:tcBorders>
                  <w:vAlign w:val="center"/>
                </w:tcPr>
                <w:p>
                  <w:pPr>
                    <w:adjustRightInd w:val="0"/>
                    <w:snapToGrid w:val="0"/>
                    <w:jc w:val="center"/>
                    <w:rPr>
                      <w:szCs w:val="21"/>
                    </w:rPr>
                  </w:pPr>
                </w:p>
              </w:tc>
              <w:tc>
                <w:tcPr>
                  <w:tcW w:w="336" w:type="pct"/>
                  <w:tcBorders>
                    <w:tl2br w:val="nil"/>
                    <w:tr2bl w:val="nil"/>
                  </w:tcBorders>
                  <w:vAlign w:val="center"/>
                </w:tcPr>
                <w:p>
                  <w:pPr>
                    <w:adjustRightInd w:val="0"/>
                    <w:snapToGrid w:val="0"/>
                    <w:jc w:val="center"/>
                    <w:rPr>
                      <w:szCs w:val="21"/>
                    </w:rPr>
                  </w:pPr>
                  <w:r>
                    <w:rPr>
                      <w:rFonts w:hint="eastAsia"/>
                      <w:szCs w:val="21"/>
                    </w:rPr>
                    <w:t>注塑</w:t>
                  </w:r>
                </w:p>
              </w:tc>
              <w:tc>
                <w:tcPr>
                  <w:tcW w:w="964" w:type="pct"/>
                  <w:tcBorders>
                    <w:tl2br w:val="nil"/>
                    <w:tr2bl w:val="nil"/>
                  </w:tcBorders>
                  <w:vAlign w:val="center"/>
                </w:tcPr>
                <w:p>
                  <w:pPr>
                    <w:adjustRightInd w:val="0"/>
                    <w:snapToGrid w:val="0"/>
                    <w:jc w:val="center"/>
                    <w:rPr>
                      <w:szCs w:val="21"/>
                    </w:rPr>
                  </w:pPr>
                  <w:r>
                    <w:rPr>
                      <w:rFonts w:hint="eastAsia"/>
                      <w:szCs w:val="21"/>
                    </w:rPr>
                    <w:t>/</w:t>
                  </w:r>
                </w:p>
              </w:tc>
              <w:tc>
                <w:tcPr>
                  <w:tcW w:w="911" w:type="pct"/>
                  <w:tcBorders>
                    <w:tl2br w:val="nil"/>
                    <w:tr2bl w:val="nil"/>
                  </w:tcBorders>
                  <w:vAlign w:val="center"/>
                </w:tcPr>
                <w:p>
                  <w:pPr>
                    <w:adjustRightInd w:val="0"/>
                    <w:snapToGrid w:val="0"/>
                    <w:jc w:val="center"/>
                    <w:rPr>
                      <w:szCs w:val="21"/>
                    </w:rPr>
                  </w:pPr>
                  <w:r>
                    <w:rPr>
                      <w:rFonts w:hint="eastAsia"/>
                      <w:szCs w:val="21"/>
                    </w:rPr>
                    <w:t>注塑废气经集气罩收集+二级活性炭吸附处理后通过15m高2#排气筒排放</w:t>
                  </w:r>
                </w:p>
              </w:tc>
              <w:tc>
                <w:tcPr>
                  <w:tcW w:w="1057" w:type="pct"/>
                  <w:tcBorders>
                    <w:tl2br w:val="nil"/>
                    <w:tr2bl w:val="nil"/>
                  </w:tcBorders>
                  <w:vAlign w:val="center"/>
                </w:tcPr>
                <w:p>
                  <w:pPr>
                    <w:adjustRightInd w:val="0"/>
                    <w:snapToGrid w:val="0"/>
                    <w:jc w:val="center"/>
                    <w:rPr>
                      <w:szCs w:val="21"/>
                    </w:rPr>
                  </w:pPr>
                  <w:r>
                    <w:rPr>
                      <w:rFonts w:hint="eastAsia"/>
                      <w:szCs w:val="21"/>
                    </w:rPr>
                    <w:t>注塑废气经集气罩收集+二级活性炭吸附处理后通过15m高2#排气筒排放</w:t>
                  </w:r>
                </w:p>
              </w:tc>
              <w:tc>
                <w:tcPr>
                  <w:tcW w:w="1055" w:type="pct"/>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5" w:hRule="atLeast"/>
                <w:jc w:val="center"/>
              </w:trPr>
              <w:tc>
                <w:tcPr>
                  <w:tcW w:w="400" w:type="pct"/>
                  <w:vMerge w:val="continue"/>
                  <w:tcBorders>
                    <w:tl2br w:val="nil"/>
                    <w:tr2bl w:val="nil"/>
                  </w:tcBorders>
                  <w:vAlign w:val="center"/>
                </w:tcPr>
                <w:p>
                  <w:pPr>
                    <w:adjustRightInd w:val="0"/>
                    <w:snapToGrid w:val="0"/>
                    <w:jc w:val="center"/>
                    <w:rPr>
                      <w:szCs w:val="21"/>
                    </w:rPr>
                  </w:pPr>
                </w:p>
              </w:tc>
              <w:tc>
                <w:tcPr>
                  <w:tcW w:w="274" w:type="pct"/>
                  <w:gridSpan w:val="2"/>
                  <w:vMerge w:val="continue"/>
                  <w:tcBorders>
                    <w:tl2br w:val="nil"/>
                    <w:tr2bl w:val="nil"/>
                  </w:tcBorders>
                  <w:vAlign w:val="center"/>
                </w:tcPr>
                <w:p>
                  <w:pPr>
                    <w:adjustRightInd w:val="0"/>
                    <w:snapToGrid w:val="0"/>
                    <w:jc w:val="center"/>
                    <w:rPr>
                      <w:szCs w:val="21"/>
                    </w:rPr>
                  </w:pPr>
                </w:p>
              </w:tc>
              <w:tc>
                <w:tcPr>
                  <w:tcW w:w="336" w:type="pct"/>
                  <w:tcBorders>
                    <w:tl2br w:val="nil"/>
                    <w:tr2bl w:val="nil"/>
                  </w:tcBorders>
                  <w:vAlign w:val="center"/>
                </w:tcPr>
                <w:p>
                  <w:pPr>
                    <w:adjustRightInd w:val="0"/>
                    <w:snapToGrid w:val="0"/>
                    <w:jc w:val="center"/>
                    <w:rPr>
                      <w:szCs w:val="21"/>
                    </w:rPr>
                  </w:pPr>
                  <w:r>
                    <w:rPr>
                      <w:rFonts w:hint="eastAsia"/>
                      <w:szCs w:val="21"/>
                    </w:rPr>
                    <w:t>破碎</w:t>
                  </w:r>
                </w:p>
              </w:tc>
              <w:tc>
                <w:tcPr>
                  <w:tcW w:w="964" w:type="pct"/>
                  <w:tcBorders>
                    <w:tl2br w:val="nil"/>
                    <w:tr2bl w:val="nil"/>
                  </w:tcBorders>
                  <w:vAlign w:val="center"/>
                </w:tcPr>
                <w:p>
                  <w:pPr>
                    <w:adjustRightInd w:val="0"/>
                    <w:snapToGrid w:val="0"/>
                    <w:jc w:val="center"/>
                    <w:rPr>
                      <w:szCs w:val="21"/>
                    </w:rPr>
                  </w:pPr>
                  <w:r>
                    <w:rPr>
                      <w:rFonts w:hint="eastAsia"/>
                      <w:szCs w:val="21"/>
                    </w:rPr>
                    <w:t>/</w:t>
                  </w:r>
                </w:p>
              </w:tc>
              <w:tc>
                <w:tcPr>
                  <w:tcW w:w="911" w:type="pct"/>
                  <w:tcBorders>
                    <w:tl2br w:val="nil"/>
                    <w:tr2bl w:val="nil"/>
                  </w:tcBorders>
                  <w:vAlign w:val="center"/>
                </w:tcPr>
                <w:p>
                  <w:pPr>
                    <w:adjustRightInd w:val="0"/>
                    <w:snapToGrid w:val="0"/>
                    <w:jc w:val="center"/>
                    <w:rPr>
                      <w:szCs w:val="21"/>
                    </w:rPr>
                  </w:pPr>
                  <w:r>
                    <w:rPr>
                      <w:szCs w:val="21"/>
                    </w:rPr>
                    <w:t>粉尘经集气罩收集+</w:t>
                  </w:r>
                  <w:r>
                    <w:rPr>
                      <w:rFonts w:hint="eastAsia"/>
                      <w:szCs w:val="21"/>
                    </w:rPr>
                    <w:t>布袋除尘器</w:t>
                  </w:r>
                  <w:r>
                    <w:rPr>
                      <w:szCs w:val="21"/>
                    </w:rPr>
                    <w:t>处理后通过15高</w:t>
                  </w:r>
                  <w:r>
                    <w:rPr>
                      <w:rFonts w:hint="eastAsia"/>
                      <w:szCs w:val="21"/>
                    </w:rPr>
                    <w:t>3</w:t>
                  </w:r>
                  <w:r>
                    <w:rPr>
                      <w:szCs w:val="21"/>
                    </w:rPr>
                    <w:t>#排气筒排放</w:t>
                  </w:r>
                </w:p>
              </w:tc>
              <w:tc>
                <w:tcPr>
                  <w:tcW w:w="1057" w:type="pct"/>
                  <w:tcBorders>
                    <w:tl2br w:val="nil"/>
                    <w:tr2bl w:val="nil"/>
                  </w:tcBorders>
                  <w:vAlign w:val="center"/>
                </w:tcPr>
                <w:p>
                  <w:pPr>
                    <w:adjustRightInd w:val="0"/>
                    <w:snapToGrid w:val="0"/>
                    <w:jc w:val="center"/>
                    <w:rPr>
                      <w:szCs w:val="21"/>
                    </w:rPr>
                  </w:pPr>
                  <w:r>
                    <w:rPr>
                      <w:szCs w:val="21"/>
                    </w:rPr>
                    <w:t>粉尘经集气罩收集+</w:t>
                  </w:r>
                  <w:r>
                    <w:rPr>
                      <w:rFonts w:hint="eastAsia"/>
                      <w:szCs w:val="21"/>
                    </w:rPr>
                    <w:t>布袋除尘器</w:t>
                  </w:r>
                  <w:r>
                    <w:rPr>
                      <w:szCs w:val="21"/>
                    </w:rPr>
                    <w:t>处理后通过15高</w:t>
                  </w:r>
                  <w:r>
                    <w:rPr>
                      <w:rFonts w:hint="eastAsia"/>
                      <w:szCs w:val="21"/>
                    </w:rPr>
                    <w:t>3</w:t>
                  </w:r>
                  <w:r>
                    <w:rPr>
                      <w:szCs w:val="21"/>
                    </w:rPr>
                    <w:t>#排气筒排放</w:t>
                  </w:r>
                </w:p>
              </w:tc>
              <w:tc>
                <w:tcPr>
                  <w:tcW w:w="1055" w:type="pct"/>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5" w:hRule="atLeast"/>
                <w:jc w:val="center"/>
              </w:trPr>
              <w:tc>
                <w:tcPr>
                  <w:tcW w:w="400" w:type="pct"/>
                  <w:vMerge w:val="continue"/>
                  <w:tcBorders>
                    <w:tl2br w:val="nil"/>
                    <w:tr2bl w:val="nil"/>
                  </w:tcBorders>
                  <w:vAlign w:val="center"/>
                </w:tcPr>
                <w:p>
                  <w:pPr>
                    <w:adjustRightInd w:val="0"/>
                    <w:snapToGrid w:val="0"/>
                    <w:jc w:val="center"/>
                    <w:rPr>
                      <w:szCs w:val="21"/>
                    </w:rPr>
                  </w:pPr>
                </w:p>
              </w:tc>
              <w:tc>
                <w:tcPr>
                  <w:tcW w:w="274" w:type="pct"/>
                  <w:gridSpan w:val="2"/>
                  <w:vMerge w:val="continue"/>
                  <w:tcBorders>
                    <w:tl2br w:val="nil"/>
                    <w:tr2bl w:val="nil"/>
                  </w:tcBorders>
                  <w:vAlign w:val="center"/>
                </w:tcPr>
                <w:p>
                  <w:pPr>
                    <w:adjustRightInd w:val="0"/>
                    <w:snapToGrid w:val="0"/>
                    <w:jc w:val="center"/>
                    <w:rPr>
                      <w:szCs w:val="21"/>
                    </w:rPr>
                  </w:pPr>
                </w:p>
              </w:tc>
              <w:tc>
                <w:tcPr>
                  <w:tcW w:w="336" w:type="pct"/>
                  <w:tcBorders>
                    <w:tl2br w:val="nil"/>
                    <w:tr2bl w:val="nil"/>
                  </w:tcBorders>
                  <w:vAlign w:val="center"/>
                </w:tcPr>
                <w:p>
                  <w:pPr>
                    <w:adjustRightInd w:val="0"/>
                    <w:snapToGrid w:val="0"/>
                    <w:jc w:val="center"/>
                    <w:rPr>
                      <w:szCs w:val="21"/>
                    </w:rPr>
                  </w:pPr>
                  <w:r>
                    <w:rPr>
                      <w:rFonts w:hint="eastAsia"/>
                      <w:szCs w:val="21"/>
                    </w:rPr>
                    <w:t>油烟</w:t>
                  </w:r>
                </w:p>
              </w:tc>
              <w:tc>
                <w:tcPr>
                  <w:tcW w:w="964" w:type="pct"/>
                  <w:tcBorders>
                    <w:tl2br w:val="nil"/>
                    <w:tr2bl w:val="nil"/>
                  </w:tcBorders>
                  <w:vAlign w:val="center"/>
                </w:tcPr>
                <w:p>
                  <w:pPr>
                    <w:adjustRightInd w:val="0"/>
                    <w:snapToGrid w:val="0"/>
                    <w:jc w:val="center"/>
                    <w:rPr>
                      <w:szCs w:val="21"/>
                    </w:rPr>
                  </w:pPr>
                  <w:r>
                    <w:rPr>
                      <w:rFonts w:hint="eastAsia"/>
                      <w:szCs w:val="21"/>
                    </w:rPr>
                    <w:t>食堂油烟经集气罩收集+油烟净化器处理后通过15m高4#排气筒排放</w:t>
                  </w:r>
                </w:p>
              </w:tc>
              <w:tc>
                <w:tcPr>
                  <w:tcW w:w="911" w:type="pct"/>
                  <w:tcBorders>
                    <w:tl2br w:val="nil"/>
                    <w:tr2bl w:val="nil"/>
                  </w:tcBorders>
                  <w:vAlign w:val="center"/>
                </w:tcPr>
                <w:p>
                  <w:pPr>
                    <w:adjustRightInd w:val="0"/>
                    <w:snapToGrid w:val="0"/>
                    <w:jc w:val="center"/>
                    <w:rPr>
                      <w:szCs w:val="21"/>
                    </w:rPr>
                  </w:pPr>
                  <w:r>
                    <w:rPr>
                      <w:rFonts w:hint="eastAsia"/>
                      <w:szCs w:val="21"/>
                      <w:lang w:eastAsia="zh-CN"/>
                    </w:rPr>
                    <w:t>依托现有</w:t>
                  </w:r>
                </w:p>
              </w:tc>
              <w:tc>
                <w:tcPr>
                  <w:tcW w:w="1057" w:type="pct"/>
                  <w:tcBorders>
                    <w:tl2br w:val="nil"/>
                    <w:tr2bl w:val="nil"/>
                  </w:tcBorders>
                  <w:vAlign w:val="center"/>
                </w:tcPr>
                <w:p>
                  <w:pPr>
                    <w:adjustRightInd w:val="0"/>
                    <w:snapToGrid w:val="0"/>
                    <w:jc w:val="center"/>
                    <w:rPr>
                      <w:szCs w:val="21"/>
                    </w:rPr>
                  </w:pPr>
                  <w:r>
                    <w:rPr>
                      <w:rFonts w:hint="eastAsia"/>
                      <w:szCs w:val="21"/>
                    </w:rPr>
                    <w:t>食堂油烟经集气罩收集+油烟净化器处理后通过15m高4#排气筒排放</w:t>
                  </w:r>
                </w:p>
              </w:tc>
              <w:tc>
                <w:tcPr>
                  <w:tcW w:w="1055" w:type="pct"/>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7" w:hRule="atLeast"/>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tcBorders>
                    <w:tl2br w:val="nil"/>
                    <w:tr2bl w:val="nil"/>
                  </w:tcBorders>
                  <w:vAlign w:val="center"/>
                </w:tcPr>
                <w:p>
                  <w:pPr>
                    <w:adjustRightInd w:val="0"/>
                    <w:snapToGrid w:val="0"/>
                    <w:jc w:val="center"/>
                    <w:rPr>
                      <w:szCs w:val="21"/>
                    </w:rPr>
                  </w:pPr>
                  <w:r>
                    <w:rPr>
                      <w:szCs w:val="21"/>
                    </w:rPr>
                    <w:t>噪声治理</w:t>
                  </w:r>
                </w:p>
              </w:tc>
              <w:tc>
                <w:tcPr>
                  <w:tcW w:w="964" w:type="pct"/>
                  <w:tcBorders>
                    <w:tl2br w:val="nil"/>
                    <w:tr2bl w:val="nil"/>
                  </w:tcBorders>
                  <w:vAlign w:val="center"/>
                </w:tcPr>
                <w:p>
                  <w:pPr>
                    <w:adjustRightInd w:val="0"/>
                    <w:snapToGrid w:val="0"/>
                    <w:jc w:val="center"/>
                    <w:rPr>
                      <w:szCs w:val="21"/>
                    </w:rPr>
                  </w:pPr>
                  <w:r>
                    <w:rPr>
                      <w:szCs w:val="21"/>
                    </w:rPr>
                    <w:t>隔声、消声、减振</w:t>
                  </w:r>
                </w:p>
              </w:tc>
              <w:tc>
                <w:tcPr>
                  <w:tcW w:w="911" w:type="pct"/>
                  <w:tcBorders>
                    <w:tl2br w:val="nil"/>
                    <w:tr2bl w:val="nil"/>
                  </w:tcBorders>
                  <w:vAlign w:val="center"/>
                </w:tcPr>
                <w:p>
                  <w:pPr>
                    <w:adjustRightInd w:val="0"/>
                    <w:snapToGrid w:val="0"/>
                    <w:jc w:val="center"/>
                    <w:rPr>
                      <w:szCs w:val="21"/>
                    </w:rPr>
                  </w:pPr>
                  <w:r>
                    <w:rPr>
                      <w:szCs w:val="21"/>
                    </w:rPr>
                    <w:t>隔声、消声、减振</w:t>
                  </w:r>
                </w:p>
              </w:tc>
              <w:tc>
                <w:tcPr>
                  <w:tcW w:w="1057" w:type="pct"/>
                  <w:tcBorders>
                    <w:tl2br w:val="nil"/>
                    <w:tr2bl w:val="nil"/>
                  </w:tcBorders>
                  <w:vAlign w:val="center"/>
                </w:tcPr>
                <w:p>
                  <w:pPr>
                    <w:adjustRightInd w:val="0"/>
                    <w:snapToGrid w:val="0"/>
                    <w:jc w:val="center"/>
                    <w:rPr>
                      <w:szCs w:val="21"/>
                    </w:rPr>
                  </w:pPr>
                  <w:r>
                    <w:rPr>
                      <w:szCs w:val="21"/>
                    </w:rPr>
                    <w:t>隔声、消声、减振</w:t>
                  </w:r>
                </w:p>
              </w:tc>
              <w:tc>
                <w:tcPr>
                  <w:tcW w:w="1055" w:type="pct"/>
                  <w:tcBorders>
                    <w:tl2br w:val="nil"/>
                    <w:tr2bl w:val="nil"/>
                  </w:tcBorders>
                  <w:vAlign w:val="center"/>
                </w:tcPr>
                <w:p>
                  <w:pPr>
                    <w:adjustRightInd w:val="0"/>
                    <w:snapToGrid w:val="0"/>
                    <w:jc w:val="center"/>
                    <w:rPr>
                      <w:szCs w:val="21"/>
                    </w:rPr>
                  </w:pPr>
                  <w:r>
                    <w:rPr>
                      <w:rFonts w:hint="eastAsia"/>
                      <w:szCs w:val="21"/>
                    </w:rPr>
                    <w:t>厂</w:t>
                  </w:r>
                  <w:r>
                    <w:rPr>
                      <w:szCs w:val="21"/>
                    </w:rPr>
                    <w:t>界噪声满足《工业企业厂界环境噪声排放标准》（GB12348-2008）3类标准要求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00" w:type="pct"/>
                  <w:vMerge w:val="continue"/>
                  <w:tcBorders>
                    <w:tl2br w:val="nil"/>
                    <w:tr2bl w:val="nil"/>
                  </w:tcBorders>
                  <w:vAlign w:val="center"/>
                </w:tcPr>
                <w:p>
                  <w:pPr>
                    <w:adjustRightInd w:val="0"/>
                    <w:snapToGrid w:val="0"/>
                    <w:jc w:val="center"/>
                    <w:rPr>
                      <w:szCs w:val="21"/>
                    </w:rPr>
                  </w:pPr>
                </w:p>
              </w:tc>
              <w:tc>
                <w:tcPr>
                  <w:tcW w:w="225" w:type="pct"/>
                  <w:vMerge w:val="restart"/>
                  <w:tcBorders>
                    <w:tl2br w:val="nil"/>
                    <w:tr2bl w:val="nil"/>
                  </w:tcBorders>
                  <w:vAlign w:val="center"/>
                </w:tcPr>
                <w:p>
                  <w:pPr>
                    <w:adjustRightInd w:val="0"/>
                    <w:snapToGrid w:val="0"/>
                    <w:jc w:val="center"/>
                    <w:rPr>
                      <w:szCs w:val="21"/>
                    </w:rPr>
                  </w:pPr>
                  <w:r>
                    <w:rPr>
                      <w:rFonts w:hint="eastAsia"/>
                      <w:szCs w:val="21"/>
                    </w:rPr>
                    <w:t>固废</w:t>
                  </w:r>
                </w:p>
              </w:tc>
              <w:tc>
                <w:tcPr>
                  <w:tcW w:w="386" w:type="pct"/>
                  <w:gridSpan w:val="2"/>
                  <w:tcBorders>
                    <w:tl2br w:val="nil"/>
                    <w:tr2bl w:val="nil"/>
                  </w:tcBorders>
                  <w:vAlign w:val="center"/>
                </w:tcPr>
                <w:p>
                  <w:pPr>
                    <w:adjustRightInd w:val="0"/>
                    <w:snapToGrid w:val="0"/>
                    <w:jc w:val="center"/>
                    <w:rPr>
                      <w:szCs w:val="21"/>
                    </w:rPr>
                  </w:pPr>
                  <w:r>
                    <w:rPr>
                      <w:rFonts w:hint="eastAsia"/>
                      <w:szCs w:val="21"/>
                    </w:rPr>
                    <w:t>一般</w:t>
                  </w:r>
                  <w:r>
                    <w:rPr>
                      <w:szCs w:val="21"/>
                    </w:rPr>
                    <w:t>固废</w:t>
                  </w:r>
                </w:p>
              </w:tc>
              <w:tc>
                <w:tcPr>
                  <w:tcW w:w="964" w:type="pct"/>
                  <w:tcBorders>
                    <w:tl2br w:val="nil"/>
                    <w:tr2bl w:val="nil"/>
                  </w:tcBorders>
                  <w:vAlign w:val="center"/>
                </w:tcPr>
                <w:p>
                  <w:pPr>
                    <w:adjustRightInd w:val="0"/>
                    <w:snapToGrid w:val="0"/>
                    <w:jc w:val="center"/>
                    <w:rPr>
                      <w:szCs w:val="21"/>
                    </w:rPr>
                  </w:pPr>
                  <w:r>
                    <w:rPr>
                      <w:snapToGrid w:val="0"/>
                      <w:szCs w:val="21"/>
                    </w:rPr>
                    <w:t>固废暂存间</w:t>
                  </w:r>
                  <w:r>
                    <w:rPr>
                      <w:rFonts w:hint="eastAsia"/>
                      <w:snapToGrid w:val="0"/>
                      <w:szCs w:val="21"/>
                    </w:rPr>
                    <w:t>，3</w:t>
                  </w:r>
                  <w:r>
                    <w:rPr>
                      <w:snapToGrid w:val="0"/>
                      <w:szCs w:val="21"/>
                    </w:rPr>
                    <w:t>0</w:t>
                  </w:r>
                  <w:r>
                    <w:rPr>
                      <w:rFonts w:hint="eastAsia"/>
                      <w:szCs w:val="21"/>
                    </w:rPr>
                    <w:t>m</w:t>
                  </w:r>
                  <w:r>
                    <w:rPr>
                      <w:rFonts w:hint="eastAsia"/>
                      <w:szCs w:val="21"/>
                      <w:vertAlign w:val="superscript"/>
                    </w:rPr>
                    <w:t>2</w:t>
                  </w:r>
                </w:p>
              </w:tc>
              <w:tc>
                <w:tcPr>
                  <w:tcW w:w="911" w:type="pct"/>
                  <w:tcBorders>
                    <w:tl2br w:val="nil"/>
                    <w:tr2bl w:val="nil"/>
                  </w:tcBorders>
                  <w:vAlign w:val="center"/>
                </w:tcPr>
                <w:p>
                  <w:pPr>
                    <w:adjustRightInd w:val="0"/>
                    <w:snapToGrid w:val="0"/>
                    <w:jc w:val="center"/>
                    <w:rPr>
                      <w:szCs w:val="21"/>
                    </w:rPr>
                  </w:pPr>
                  <w:r>
                    <w:rPr>
                      <w:snapToGrid w:val="0"/>
                      <w:szCs w:val="21"/>
                    </w:rPr>
                    <w:t>固废暂存间</w:t>
                  </w:r>
                  <w:r>
                    <w:rPr>
                      <w:rFonts w:hint="eastAsia"/>
                      <w:snapToGrid w:val="0"/>
                      <w:szCs w:val="21"/>
                    </w:rPr>
                    <w:t>，3</w:t>
                  </w:r>
                  <w:r>
                    <w:rPr>
                      <w:snapToGrid w:val="0"/>
                      <w:szCs w:val="21"/>
                    </w:rPr>
                    <w:t>0</w:t>
                  </w:r>
                  <w:r>
                    <w:rPr>
                      <w:rFonts w:hint="eastAsia"/>
                      <w:szCs w:val="21"/>
                    </w:rPr>
                    <w:t>m</w:t>
                  </w:r>
                  <w:r>
                    <w:rPr>
                      <w:rFonts w:hint="eastAsia"/>
                      <w:szCs w:val="21"/>
                      <w:vertAlign w:val="superscript"/>
                    </w:rPr>
                    <w:t>2</w:t>
                  </w:r>
                </w:p>
              </w:tc>
              <w:tc>
                <w:tcPr>
                  <w:tcW w:w="1057" w:type="pct"/>
                  <w:tcBorders>
                    <w:tl2br w:val="nil"/>
                    <w:tr2bl w:val="nil"/>
                  </w:tcBorders>
                  <w:vAlign w:val="center"/>
                </w:tcPr>
                <w:p>
                  <w:pPr>
                    <w:adjustRightInd w:val="0"/>
                    <w:snapToGrid w:val="0"/>
                    <w:jc w:val="center"/>
                    <w:rPr>
                      <w:szCs w:val="21"/>
                    </w:rPr>
                  </w:pPr>
                  <w:r>
                    <w:rPr>
                      <w:snapToGrid w:val="0"/>
                      <w:szCs w:val="21"/>
                    </w:rPr>
                    <w:t>固废暂存间</w:t>
                  </w:r>
                  <w:r>
                    <w:rPr>
                      <w:rFonts w:hint="eastAsia"/>
                      <w:snapToGrid w:val="0"/>
                      <w:szCs w:val="21"/>
                    </w:rPr>
                    <w:t>，60</w:t>
                  </w:r>
                  <w:r>
                    <w:rPr>
                      <w:rFonts w:hint="eastAsia"/>
                      <w:szCs w:val="21"/>
                    </w:rPr>
                    <w:t>m</w:t>
                  </w:r>
                  <w:r>
                    <w:rPr>
                      <w:rFonts w:hint="eastAsia"/>
                      <w:szCs w:val="21"/>
                      <w:vertAlign w:val="superscript"/>
                    </w:rPr>
                    <w:t>2</w:t>
                  </w:r>
                </w:p>
              </w:tc>
              <w:tc>
                <w:tcPr>
                  <w:tcW w:w="1055" w:type="pct"/>
                  <w:vMerge w:val="restart"/>
                  <w:tcBorders>
                    <w:tl2br w:val="nil"/>
                    <w:tr2bl w:val="nil"/>
                  </w:tcBorders>
                  <w:vAlign w:val="center"/>
                </w:tcPr>
                <w:p>
                  <w:pPr>
                    <w:adjustRightInd w:val="0"/>
                    <w:snapToGrid w:val="0"/>
                    <w:jc w:val="center"/>
                    <w:rPr>
                      <w:szCs w:val="21"/>
                    </w:rPr>
                  </w:pPr>
                  <w:r>
                    <w:rPr>
                      <w:rFonts w:hint="eastAsia"/>
                      <w:szCs w:val="21"/>
                    </w:rPr>
                    <w:t>分类</w:t>
                  </w:r>
                  <w:r>
                    <w:rPr>
                      <w:szCs w:val="21"/>
                    </w:rPr>
                    <w:t>处置，</w:t>
                  </w:r>
                  <w:r>
                    <w:rPr>
                      <w:rFonts w:hint="eastAsia"/>
                      <w:szCs w:val="21"/>
                    </w:rPr>
                    <w:t>零排放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00" w:type="pct"/>
                  <w:vMerge w:val="continue"/>
                  <w:tcBorders>
                    <w:tl2br w:val="nil"/>
                    <w:tr2bl w:val="nil"/>
                  </w:tcBorders>
                  <w:vAlign w:val="center"/>
                </w:tcPr>
                <w:p>
                  <w:pPr>
                    <w:adjustRightInd w:val="0"/>
                    <w:snapToGrid w:val="0"/>
                    <w:jc w:val="center"/>
                    <w:rPr>
                      <w:szCs w:val="21"/>
                    </w:rPr>
                  </w:pPr>
                </w:p>
              </w:tc>
              <w:tc>
                <w:tcPr>
                  <w:tcW w:w="225" w:type="pct"/>
                  <w:vMerge w:val="continue"/>
                  <w:tcBorders>
                    <w:tl2br w:val="nil"/>
                    <w:tr2bl w:val="nil"/>
                  </w:tcBorders>
                  <w:vAlign w:val="center"/>
                </w:tcPr>
                <w:p>
                  <w:pPr>
                    <w:adjustRightInd w:val="0"/>
                    <w:snapToGrid w:val="0"/>
                    <w:jc w:val="center"/>
                    <w:rPr>
                      <w:szCs w:val="21"/>
                    </w:rPr>
                  </w:pPr>
                </w:p>
              </w:tc>
              <w:tc>
                <w:tcPr>
                  <w:tcW w:w="386" w:type="pct"/>
                  <w:gridSpan w:val="2"/>
                  <w:tcBorders>
                    <w:tl2br w:val="nil"/>
                    <w:tr2bl w:val="nil"/>
                  </w:tcBorders>
                  <w:vAlign w:val="center"/>
                </w:tcPr>
                <w:p>
                  <w:pPr>
                    <w:adjustRightInd w:val="0"/>
                    <w:snapToGrid w:val="0"/>
                    <w:jc w:val="center"/>
                    <w:rPr>
                      <w:szCs w:val="21"/>
                    </w:rPr>
                  </w:pPr>
                  <w:r>
                    <w:rPr>
                      <w:rFonts w:hint="eastAsia"/>
                      <w:szCs w:val="21"/>
                    </w:rPr>
                    <w:t>危险固废</w:t>
                  </w:r>
                </w:p>
              </w:tc>
              <w:tc>
                <w:tcPr>
                  <w:tcW w:w="964" w:type="pct"/>
                  <w:tcBorders>
                    <w:tl2br w:val="nil"/>
                    <w:tr2bl w:val="nil"/>
                  </w:tcBorders>
                  <w:vAlign w:val="center"/>
                </w:tcPr>
                <w:p>
                  <w:pPr>
                    <w:adjustRightInd w:val="0"/>
                    <w:snapToGrid w:val="0"/>
                    <w:jc w:val="center"/>
                    <w:rPr>
                      <w:szCs w:val="21"/>
                    </w:rPr>
                  </w:pPr>
                  <w:r>
                    <w:rPr>
                      <w:rFonts w:hint="eastAsia"/>
                      <w:snapToGrid w:val="0"/>
                      <w:szCs w:val="21"/>
                    </w:rPr>
                    <w:t>/</w:t>
                  </w:r>
                </w:p>
              </w:tc>
              <w:tc>
                <w:tcPr>
                  <w:tcW w:w="911" w:type="pct"/>
                  <w:tcBorders>
                    <w:tl2br w:val="nil"/>
                    <w:tr2bl w:val="nil"/>
                  </w:tcBorders>
                  <w:vAlign w:val="center"/>
                </w:tcPr>
                <w:p>
                  <w:pPr>
                    <w:adjustRightInd w:val="0"/>
                    <w:snapToGrid w:val="0"/>
                    <w:jc w:val="center"/>
                    <w:rPr>
                      <w:szCs w:val="21"/>
                    </w:rPr>
                  </w:pPr>
                  <w:r>
                    <w:rPr>
                      <w:rFonts w:hint="eastAsia"/>
                      <w:snapToGrid w:val="0"/>
                      <w:szCs w:val="21"/>
                    </w:rPr>
                    <w:t>危废仓库，10</w:t>
                  </w:r>
                  <w:r>
                    <w:rPr>
                      <w:rFonts w:hint="eastAsia"/>
                      <w:szCs w:val="21"/>
                    </w:rPr>
                    <w:t>m</w:t>
                  </w:r>
                  <w:r>
                    <w:rPr>
                      <w:rFonts w:hint="eastAsia"/>
                      <w:szCs w:val="21"/>
                      <w:vertAlign w:val="superscript"/>
                    </w:rPr>
                    <w:t>2</w:t>
                  </w:r>
                </w:p>
              </w:tc>
              <w:tc>
                <w:tcPr>
                  <w:tcW w:w="1057" w:type="pct"/>
                  <w:tcBorders>
                    <w:tl2br w:val="nil"/>
                    <w:tr2bl w:val="nil"/>
                  </w:tcBorders>
                  <w:vAlign w:val="center"/>
                </w:tcPr>
                <w:p>
                  <w:pPr>
                    <w:adjustRightInd w:val="0"/>
                    <w:snapToGrid w:val="0"/>
                    <w:jc w:val="center"/>
                    <w:rPr>
                      <w:szCs w:val="21"/>
                    </w:rPr>
                  </w:pPr>
                  <w:r>
                    <w:rPr>
                      <w:rFonts w:hint="eastAsia"/>
                      <w:snapToGrid w:val="0"/>
                      <w:szCs w:val="21"/>
                    </w:rPr>
                    <w:t>危废仓库，10</w:t>
                  </w:r>
                  <w:r>
                    <w:rPr>
                      <w:rFonts w:hint="eastAsia"/>
                      <w:szCs w:val="21"/>
                    </w:rPr>
                    <w:t>m</w:t>
                  </w:r>
                  <w:r>
                    <w:rPr>
                      <w:rFonts w:hint="eastAsia"/>
                      <w:szCs w:val="21"/>
                      <w:vertAlign w:val="superscript"/>
                    </w:rPr>
                    <w:t>2</w:t>
                  </w:r>
                </w:p>
              </w:tc>
              <w:tc>
                <w:tcPr>
                  <w:tcW w:w="1055" w:type="pct"/>
                  <w:vMerge w:val="continue"/>
                  <w:tcBorders>
                    <w:tl2br w:val="nil"/>
                    <w:tr2bl w:val="nil"/>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00" w:type="pct"/>
                  <w:vMerge w:val="continue"/>
                  <w:tcBorders>
                    <w:tl2br w:val="nil"/>
                    <w:tr2bl w:val="nil"/>
                  </w:tcBorders>
                  <w:vAlign w:val="center"/>
                </w:tcPr>
                <w:p>
                  <w:pPr>
                    <w:adjustRightInd w:val="0"/>
                    <w:snapToGrid w:val="0"/>
                    <w:jc w:val="center"/>
                    <w:rPr>
                      <w:szCs w:val="21"/>
                    </w:rPr>
                  </w:pPr>
                </w:p>
              </w:tc>
              <w:tc>
                <w:tcPr>
                  <w:tcW w:w="611" w:type="pct"/>
                  <w:gridSpan w:val="3"/>
                  <w:tcBorders>
                    <w:tl2br w:val="nil"/>
                    <w:tr2bl w:val="nil"/>
                  </w:tcBorders>
                  <w:vAlign w:val="center"/>
                </w:tcPr>
                <w:p>
                  <w:pPr>
                    <w:adjustRightInd w:val="0"/>
                    <w:snapToGrid w:val="0"/>
                    <w:jc w:val="center"/>
                    <w:rPr>
                      <w:szCs w:val="21"/>
                    </w:rPr>
                  </w:pPr>
                  <w:r>
                    <w:rPr>
                      <w:rFonts w:hint="eastAsia"/>
                      <w:szCs w:val="21"/>
                    </w:rPr>
                    <w:t>消防器材、应急物资</w:t>
                  </w:r>
                </w:p>
              </w:tc>
              <w:tc>
                <w:tcPr>
                  <w:tcW w:w="964" w:type="pct"/>
                  <w:tcBorders>
                    <w:tl2br w:val="nil"/>
                    <w:tr2bl w:val="nil"/>
                  </w:tcBorders>
                  <w:vAlign w:val="center"/>
                </w:tcPr>
                <w:p>
                  <w:pPr>
                    <w:adjustRightInd w:val="0"/>
                    <w:snapToGrid w:val="0"/>
                    <w:jc w:val="center"/>
                    <w:rPr>
                      <w:szCs w:val="21"/>
                    </w:rPr>
                  </w:pPr>
                  <w:r>
                    <w:rPr>
                      <w:rFonts w:hint="eastAsia"/>
                      <w:szCs w:val="21"/>
                    </w:rPr>
                    <w:t>若干套</w:t>
                  </w:r>
                </w:p>
              </w:tc>
              <w:tc>
                <w:tcPr>
                  <w:tcW w:w="911" w:type="pct"/>
                  <w:tcBorders>
                    <w:tl2br w:val="nil"/>
                    <w:tr2bl w:val="nil"/>
                  </w:tcBorders>
                  <w:vAlign w:val="center"/>
                </w:tcPr>
                <w:p>
                  <w:pPr>
                    <w:adjustRightInd w:val="0"/>
                    <w:snapToGrid w:val="0"/>
                    <w:jc w:val="center"/>
                    <w:rPr>
                      <w:szCs w:val="21"/>
                    </w:rPr>
                  </w:pPr>
                  <w:r>
                    <w:rPr>
                      <w:rFonts w:hint="eastAsia"/>
                      <w:szCs w:val="21"/>
                    </w:rPr>
                    <w:t>依托现有</w:t>
                  </w:r>
                </w:p>
              </w:tc>
              <w:tc>
                <w:tcPr>
                  <w:tcW w:w="1057" w:type="pct"/>
                  <w:tcBorders>
                    <w:tl2br w:val="nil"/>
                    <w:tr2bl w:val="nil"/>
                  </w:tcBorders>
                  <w:vAlign w:val="center"/>
                </w:tcPr>
                <w:p>
                  <w:pPr>
                    <w:adjustRightInd w:val="0"/>
                    <w:snapToGrid w:val="0"/>
                    <w:jc w:val="center"/>
                    <w:rPr>
                      <w:szCs w:val="21"/>
                    </w:rPr>
                  </w:pPr>
                  <w:r>
                    <w:rPr>
                      <w:rFonts w:hint="eastAsia"/>
                      <w:szCs w:val="21"/>
                    </w:rPr>
                    <w:t>若干套</w:t>
                  </w:r>
                </w:p>
              </w:tc>
              <w:tc>
                <w:tcPr>
                  <w:tcW w:w="1055" w:type="pct"/>
                  <w:vMerge w:val="continue"/>
                  <w:tcBorders>
                    <w:tl2br w:val="nil"/>
                    <w:tr2bl w:val="nil"/>
                  </w:tcBorders>
                  <w:vAlign w:val="center"/>
                </w:tcPr>
                <w:p>
                  <w:pPr>
                    <w:adjustRightInd w:val="0"/>
                    <w:snapToGrid w:val="0"/>
                    <w:jc w:val="center"/>
                    <w:rPr>
                      <w:szCs w:val="21"/>
                    </w:rPr>
                  </w:pPr>
                </w:p>
              </w:tc>
            </w:tr>
          </w:tbl>
          <w:p>
            <w:pPr>
              <w:snapToGrid w:val="0"/>
              <w:spacing w:before="120" w:beforeLines="50" w:line="360" w:lineRule="auto"/>
              <w:ind w:firstLine="482" w:firstLineChars="200"/>
              <w:rPr>
                <w:b/>
                <w:bCs/>
                <w:sz w:val="24"/>
              </w:rPr>
            </w:pPr>
            <w:r>
              <w:rPr>
                <w:rFonts w:hint="eastAsia"/>
                <w:b/>
                <w:bCs/>
                <w:sz w:val="24"/>
              </w:rPr>
              <w:t>5</w:t>
            </w:r>
            <w:r>
              <w:rPr>
                <w:b/>
                <w:bCs/>
                <w:sz w:val="24"/>
              </w:rPr>
              <w:t>、厂区布置分析</w:t>
            </w:r>
          </w:p>
          <w:p>
            <w:pPr>
              <w:spacing w:line="360" w:lineRule="auto"/>
              <w:ind w:firstLine="480" w:firstLineChars="200"/>
              <w:rPr>
                <w:sz w:val="24"/>
              </w:rPr>
            </w:pPr>
            <w:r>
              <w:rPr>
                <w:rFonts w:hint="eastAsia" w:ascii="宋体" w:hAnsi="宋体" w:cs="宋体"/>
                <w:sz w:val="24"/>
              </w:rPr>
              <w:t>①</w:t>
            </w:r>
            <w:r>
              <w:rPr>
                <w:sz w:val="24"/>
              </w:rPr>
              <w:t>项目平面布置</w:t>
            </w:r>
          </w:p>
          <w:p>
            <w:pPr>
              <w:spacing w:line="360" w:lineRule="auto"/>
              <w:ind w:firstLine="480" w:firstLineChars="200"/>
              <w:rPr>
                <w:spacing w:val="-2"/>
                <w:sz w:val="24"/>
              </w:rPr>
            </w:pPr>
            <w:r>
              <w:rPr>
                <w:sz w:val="24"/>
              </w:rPr>
              <w:t>本项目位于</w:t>
            </w:r>
            <w:r>
              <w:rPr>
                <w:rFonts w:hint="eastAsia" w:hAnsi="宋体"/>
                <w:sz w:val="24"/>
              </w:rPr>
              <w:t>滁州市苏滁产业园常州南路611号</w:t>
            </w:r>
            <w:r>
              <w:rPr>
                <w:sz w:val="24"/>
              </w:rPr>
              <w:t>。</w:t>
            </w:r>
            <w:r>
              <w:rPr>
                <w:rFonts w:hint="eastAsia"/>
                <w:sz w:val="24"/>
              </w:rPr>
              <w:t>从西侧出入口进入项目区，西侧由北向南依次是污水处理站、辅助用房、5#厂房、3#仓库、1#厂房；东侧区域由北向南依次为三期办公楼、6#厂房、4#仓库、</w:t>
            </w:r>
            <w:r>
              <w:rPr>
                <w:rFonts w:hint="eastAsia"/>
                <w:sz w:val="24"/>
                <w:highlight w:val="none"/>
              </w:rPr>
              <w:t>2#厂房</w:t>
            </w:r>
            <w:r>
              <w:rPr>
                <w:rFonts w:hint="eastAsia"/>
                <w:sz w:val="24"/>
                <w:highlight w:val="none"/>
                <w:lang w:eastAsia="zh-CN"/>
              </w:rPr>
              <w:t>（本项目生产厂房）</w:t>
            </w:r>
            <w:r>
              <w:rPr>
                <w:rFonts w:hint="eastAsia"/>
                <w:sz w:val="24"/>
                <w:highlight w:val="none"/>
              </w:rPr>
              <w:t>；</w:t>
            </w:r>
            <w:r>
              <w:rPr>
                <w:rFonts w:hint="eastAsia"/>
                <w:sz w:val="24"/>
              </w:rPr>
              <w:t>锅炉房位于东侧中部；食堂办公楼位于西侧中部；</w:t>
            </w:r>
            <w:r>
              <w:rPr>
                <w:sz w:val="24"/>
              </w:rPr>
              <w:t>一般固废堆放点位于</w:t>
            </w:r>
            <w:r>
              <w:rPr>
                <w:rFonts w:hint="eastAsia"/>
                <w:sz w:val="24"/>
              </w:rPr>
              <w:t>项目区西南侧区域</w:t>
            </w:r>
            <w:r>
              <w:rPr>
                <w:sz w:val="24"/>
              </w:rPr>
              <w:t>。项目</w:t>
            </w:r>
            <w:r>
              <w:rPr>
                <w:spacing w:val="-2"/>
                <w:sz w:val="24"/>
              </w:rPr>
              <w:t>平面布置情况详见附图2。</w:t>
            </w:r>
          </w:p>
          <w:p>
            <w:pPr>
              <w:spacing w:line="360" w:lineRule="auto"/>
              <w:ind w:firstLine="480" w:firstLineChars="200"/>
              <w:rPr>
                <w:sz w:val="24"/>
              </w:rPr>
            </w:pPr>
            <w:r>
              <w:rPr>
                <w:rFonts w:hint="eastAsia" w:ascii="宋体" w:hAnsi="宋体" w:cs="宋体"/>
                <w:sz w:val="24"/>
              </w:rPr>
              <w:t>②</w:t>
            </w:r>
            <w:r>
              <w:rPr>
                <w:sz w:val="24"/>
              </w:rPr>
              <w:t>项目周边关系</w:t>
            </w:r>
          </w:p>
          <w:p>
            <w:pPr>
              <w:spacing w:line="360" w:lineRule="auto"/>
              <w:ind w:firstLine="480" w:firstLineChars="200"/>
              <w:rPr>
                <w:sz w:val="24"/>
              </w:rPr>
            </w:pPr>
            <w:r>
              <w:rPr>
                <w:sz w:val="24"/>
              </w:rPr>
              <w:t>本项目位于滁州市</w:t>
            </w:r>
            <w:r>
              <w:rPr>
                <w:rFonts w:hint="eastAsia" w:hAnsi="宋体"/>
                <w:sz w:val="24"/>
              </w:rPr>
              <w:t>苏滁产业园常州南路611号</w:t>
            </w:r>
            <w:r>
              <w:rPr>
                <w:sz w:val="24"/>
              </w:rPr>
              <w:t>。</w:t>
            </w:r>
            <w:r>
              <w:rPr>
                <w:rFonts w:hint="eastAsia"/>
                <w:sz w:val="24"/>
              </w:rPr>
              <w:t>厂界东侧为锦州路，路对面为南方黑芝麻集团用地；厂界南侧为中新大道，路对面为苏州高新地产；厂界西侧为常州路，路对面为拉芳家化有限公司；厂界北侧为宜业路，路对面为滁州韩金靓化妆品有限公司。</w:t>
            </w:r>
            <w:r>
              <w:rPr>
                <w:sz w:val="24"/>
              </w:rPr>
              <w:t>项目</w:t>
            </w:r>
            <w:r>
              <w:rPr>
                <w:rFonts w:hint="eastAsia"/>
                <w:sz w:val="24"/>
              </w:rPr>
              <w:t>区</w:t>
            </w:r>
            <w:r>
              <w:rPr>
                <w:sz w:val="24"/>
              </w:rPr>
              <w:t>周边200m范围内无环境敏感点。周边环境概况详见附图3</w:t>
            </w:r>
            <w:r>
              <w:rPr>
                <w:rFonts w:hint="eastAsia"/>
                <w:sz w:val="24"/>
              </w:rPr>
              <w:t>。</w:t>
            </w:r>
          </w:p>
          <w:p>
            <w:pPr>
              <w:spacing w:line="360" w:lineRule="auto"/>
              <w:ind w:firstLine="480" w:firstLineChars="200"/>
              <w:rPr>
                <w:sz w:val="24"/>
              </w:rPr>
            </w:pPr>
            <w:r>
              <w:rPr>
                <w:sz w:val="24"/>
              </w:rPr>
              <w:t>综上，本项目是在满足生产工艺流程的前提下，结合区域面积，按各种设施不同功能进行分区组合，力求平面布置紧凑合理，节省用地，确保人流物流顺畅，利于生产，方便管理。项目平面布置合理可行。</w:t>
            </w:r>
          </w:p>
          <w:p>
            <w:pPr>
              <w:snapToGrid w:val="0"/>
              <w:spacing w:line="360" w:lineRule="auto"/>
              <w:ind w:firstLine="482" w:firstLineChars="200"/>
              <w:rPr>
                <w:b/>
                <w:bCs/>
                <w:sz w:val="24"/>
              </w:rPr>
            </w:pPr>
            <w:r>
              <w:rPr>
                <w:b/>
                <w:bCs/>
                <w:sz w:val="24"/>
              </w:rPr>
              <w:t>5、主要</w:t>
            </w:r>
            <w:r>
              <w:rPr>
                <w:rFonts w:hint="eastAsia"/>
                <w:b/>
                <w:bCs/>
                <w:sz w:val="24"/>
              </w:rPr>
              <w:t>生产单元、工艺及生产设施</w:t>
            </w:r>
          </w:p>
          <w:p>
            <w:pPr>
              <w:snapToGrid w:val="0"/>
              <w:spacing w:line="360" w:lineRule="auto"/>
              <w:ind w:firstLine="482" w:firstLineChars="200"/>
              <w:jc w:val="center"/>
              <w:rPr>
                <w:b/>
                <w:bCs/>
                <w:sz w:val="24"/>
              </w:rPr>
            </w:pPr>
          </w:p>
          <w:p>
            <w:pPr>
              <w:snapToGrid w:val="0"/>
              <w:spacing w:line="360" w:lineRule="auto"/>
              <w:ind w:firstLine="482" w:firstLineChars="200"/>
              <w:jc w:val="center"/>
              <w:rPr>
                <w:b/>
                <w:bCs/>
                <w:sz w:val="24"/>
              </w:rPr>
            </w:pPr>
          </w:p>
          <w:p>
            <w:pPr>
              <w:snapToGrid w:val="0"/>
              <w:spacing w:line="360" w:lineRule="auto"/>
              <w:ind w:firstLine="482" w:firstLineChars="200"/>
              <w:jc w:val="center"/>
            </w:pPr>
            <w:r>
              <w:rPr>
                <w:b/>
                <w:bCs/>
                <w:sz w:val="24"/>
              </w:rPr>
              <w:t>表</w:t>
            </w:r>
            <w:r>
              <w:rPr>
                <w:rFonts w:hint="eastAsia"/>
                <w:b/>
                <w:bCs/>
                <w:sz w:val="24"/>
              </w:rPr>
              <w:t>2-4</w:t>
            </w:r>
            <w:r>
              <w:rPr>
                <w:b/>
                <w:bCs/>
                <w:sz w:val="24"/>
              </w:rPr>
              <w:t>建设项目</w:t>
            </w:r>
            <w:r>
              <w:rPr>
                <w:rFonts w:hint="eastAsia"/>
                <w:b/>
                <w:bCs/>
                <w:sz w:val="24"/>
              </w:rPr>
              <w:t>生产单元、工艺及生产设施</w:t>
            </w:r>
            <w:r>
              <w:rPr>
                <w:b/>
                <w:bCs/>
                <w:sz w:val="24"/>
              </w:rPr>
              <w:t>一览表</w:t>
            </w:r>
          </w:p>
          <w:tbl>
            <w:tblPr>
              <w:tblStyle w:val="2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50"/>
              <w:gridCol w:w="798"/>
              <w:gridCol w:w="2050"/>
              <w:gridCol w:w="692"/>
              <w:gridCol w:w="750"/>
              <w:gridCol w:w="81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696" w:type="dxa"/>
                  <w:vMerge w:val="restart"/>
                  <w:vAlign w:val="center"/>
                </w:tcPr>
                <w:p>
                  <w:pPr>
                    <w:jc w:val="center"/>
                    <w:rPr>
                      <w:b/>
                      <w:szCs w:val="21"/>
                    </w:rPr>
                  </w:pPr>
                  <w:r>
                    <w:rPr>
                      <w:rFonts w:hAnsi="宋体"/>
                      <w:b/>
                      <w:szCs w:val="21"/>
                    </w:rPr>
                    <w:t>序号</w:t>
                  </w:r>
                </w:p>
              </w:tc>
              <w:tc>
                <w:tcPr>
                  <w:tcW w:w="850" w:type="dxa"/>
                  <w:vMerge w:val="restart"/>
                  <w:vAlign w:val="center"/>
                </w:tcPr>
                <w:p>
                  <w:pPr>
                    <w:jc w:val="center"/>
                    <w:rPr>
                      <w:b/>
                      <w:szCs w:val="21"/>
                    </w:rPr>
                  </w:pPr>
                  <w:r>
                    <w:rPr>
                      <w:rFonts w:hint="eastAsia"/>
                      <w:b/>
                      <w:szCs w:val="21"/>
                    </w:rPr>
                    <w:t>主要生产单元</w:t>
                  </w:r>
                </w:p>
              </w:tc>
              <w:tc>
                <w:tcPr>
                  <w:tcW w:w="798" w:type="dxa"/>
                  <w:vMerge w:val="restart"/>
                  <w:vAlign w:val="center"/>
                </w:tcPr>
                <w:p>
                  <w:pPr>
                    <w:jc w:val="center"/>
                    <w:rPr>
                      <w:b/>
                      <w:szCs w:val="21"/>
                    </w:rPr>
                  </w:pPr>
                  <w:r>
                    <w:rPr>
                      <w:rFonts w:hint="eastAsia"/>
                      <w:b/>
                      <w:szCs w:val="21"/>
                    </w:rPr>
                    <w:t>主要工艺</w:t>
                  </w:r>
                </w:p>
              </w:tc>
              <w:tc>
                <w:tcPr>
                  <w:tcW w:w="2050" w:type="dxa"/>
                  <w:vMerge w:val="restart"/>
                  <w:vAlign w:val="center"/>
                </w:tcPr>
                <w:p>
                  <w:pPr>
                    <w:jc w:val="center"/>
                    <w:rPr>
                      <w:b/>
                      <w:szCs w:val="21"/>
                    </w:rPr>
                  </w:pPr>
                  <w:r>
                    <w:rPr>
                      <w:rFonts w:hAnsi="宋体"/>
                      <w:b/>
                      <w:szCs w:val="21"/>
                    </w:rPr>
                    <w:t>设备名称</w:t>
                  </w:r>
                </w:p>
              </w:tc>
              <w:tc>
                <w:tcPr>
                  <w:tcW w:w="2255" w:type="dxa"/>
                  <w:gridSpan w:val="3"/>
                  <w:vAlign w:val="center"/>
                </w:tcPr>
                <w:p>
                  <w:pPr>
                    <w:jc w:val="center"/>
                    <w:rPr>
                      <w:b/>
                      <w:szCs w:val="21"/>
                    </w:rPr>
                  </w:pPr>
                  <w:r>
                    <w:rPr>
                      <w:rFonts w:hAnsi="宋体"/>
                      <w:b/>
                      <w:szCs w:val="21"/>
                    </w:rPr>
                    <w:t>数量（台</w:t>
                  </w:r>
                  <w:r>
                    <w:rPr>
                      <w:b/>
                      <w:szCs w:val="21"/>
                    </w:rPr>
                    <w:t>/</w:t>
                  </w:r>
                  <w:r>
                    <w:rPr>
                      <w:rFonts w:hAnsi="宋体"/>
                      <w:b/>
                      <w:szCs w:val="21"/>
                    </w:rPr>
                    <w:t>套）</w:t>
                  </w:r>
                </w:p>
              </w:tc>
              <w:tc>
                <w:tcPr>
                  <w:tcW w:w="1289" w:type="dxa"/>
                  <w:vMerge w:val="restart"/>
                  <w:vAlign w:val="center"/>
                </w:tcPr>
                <w:p>
                  <w:pPr>
                    <w:jc w:val="center"/>
                    <w:rPr>
                      <w:b/>
                      <w:szCs w:val="21"/>
                    </w:rPr>
                  </w:pPr>
                  <w:r>
                    <w:rPr>
                      <w:rFonts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96" w:type="dxa"/>
                  <w:vMerge w:val="continue"/>
                  <w:vAlign w:val="center"/>
                </w:tcPr>
                <w:p>
                  <w:pPr>
                    <w:jc w:val="center"/>
                    <w:rPr>
                      <w:rFonts w:hAnsi="宋体"/>
                      <w:b/>
                      <w:szCs w:val="21"/>
                    </w:rPr>
                  </w:pPr>
                </w:p>
              </w:tc>
              <w:tc>
                <w:tcPr>
                  <w:tcW w:w="850" w:type="dxa"/>
                  <w:vMerge w:val="continue"/>
                  <w:vAlign w:val="center"/>
                </w:tcPr>
                <w:p>
                  <w:pPr>
                    <w:jc w:val="center"/>
                    <w:rPr>
                      <w:b/>
                      <w:szCs w:val="21"/>
                    </w:rPr>
                  </w:pPr>
                </w:p>
              </w:tc>
              <w:tc>
                <w:tcPr>
                  <w:tcW w:w="798" w:type="dxa"/>
                  <w:vMerge w:val="continue"/>
                  <w:vAlign w:val="center"/>
                </w:tcPr>
                <w:p>
                  <w:pPr>
                    <w:jc w:val="center"/>
                    <w:rPr>
                      <w:b/>
                      <w:szCs w:val="21"/>
                    </w:rPr>
                  </w:pPr>
                </w:p>
              </w:tc>
              <w:tc>
                <w:tcPr>
                  <w:tcW w:w="2050" w:type="dxa"/>
                  <w:vMerge w:val="continue"/>
                  <w:vAlign w:val="center"/>
                </w:tcPr>
                <w:p>
                  <w:pPr>
                    <w:jc w:val="center"/>
                    <w:rPr>
                      <w:rFonts w:hAnsi="宋体"/>
                      <w:b/>
                      <w:szCs w:val="21"/>
                    </w:rPr>
                  </w:pPr>
                </w:p>
              </w:tc>
              <w:tc>
                <w:tcPr>
                  <w:tcW w:w="692" w:type="dxa"/>
                  <w:vAlign w:val="center"/>
                </w:tcPr>
                <w:p>
                  <w:pPr>
                    <w:jc w:val="center"/>
                    <w:rPr>
                      <w:rFonts w:hAnsi="宋体"/>
                      <w:b/>
                      <w:szCs w:val="21"/>
                    </w:rPr>
                  </w:pPr>
                  <w:r>
                    <w:rPr>
                      <w:rFonts w:hint="eastAsia" w:hAnsi="宋体"/>
                      <w:b/>
                      <w:szCs w:val="21"/>
                    </w:rPr>
                    <w:t>扩建前</w:t>
                  </w:r>
                </w:p>
              </w:tc>
              <w:tc>
                <w:tcPr>
                  <w:tcW w:w="750" w:type="dxa"/>
                  <w:vAlign w:val="center"/>
                </w:tcPr>
                <w:p>
                  <w:pPr>
                    <w:jc w:val="center"/>
                    <w:rPr>
                      <w:rFonts w:hAnsi="宋体"/>
                      <w:b/>
                      <w:szCs w:val="21"/>
                    </w:rPr>
                  </w:pPr>
                  <w:r>
                    <w:rPr>
                      <w:rFonts w:hint="eastAsia" w:hAnsi="宋体"/>
                      <w:b/>
                      <w:szCs w:val="21"/>
                    </w:rPr>
                    <w:t>扩建后</w:t>
                  </w:r>
                </w:p>
              </w:tc>
              <w:tc>
                <w:tcPr>
                  <w:tcW w:w="813" w:type="dxa"/>
                  <w:vAlign w:val="center"/>
                </w:tcPr>
                <w:p>
                  <w:pPr>
                    <w:jc w:val="center"/>
                    <w:rPr>
                      <w:rFonts w:hAnsi="宋体"/>
                      <w:b/>
                      <w:szCs w:val="21"/>
                    </w:rPr>
                  </w:pPr>
                  <w:r>
                    <w:rPr>
                      <w:rFonts w:hint="eastAsia" w:hAnsi="宋体"/>
                      <w:b/>
                      <w:szCs w:val="21"/>
                    </w:rPr>
                    <w:t>增减量</w:t>
                  </w:r>
                </w:p>
              </w:tc>
              <w:tc>
                <w:tcPr>
                  <w:tcW w:w="1289" w:type="dxa"/>
                  <w:vMerge w:val="continue"/>
                  <w:vAlign w:val="center"/>
                </w:tcPr>
                <w:p>
                  <w:pPr>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szCs w:val="21"/>
                    </w:rPr>
                  </w:pPr>
                  <w:r>
                    <w:rPr>
                      <w:szCs w:val="21"/>
                    </w:rPr>
                    <w:t>1</w:t>
                  </w:r>
                </w:p>
              </w:tc>
              <w:tc>
                <w:tcPr>
                  <w:tcW w:w="850" w:type="dxa"/>
                  <w:vMerge w:val="restart"/>
                  <w:vAlign w:val="center"/>
                </w:tcPr>
                <w:p>
                  <w:pPr>
                    <w:jc w:val="center"/>
                    <w:rPr>
                      <w:szCs w:val="21"/>
                    </w:rPr>
                  </w:pPr>
                  <w:r>
                    <w:rPr>
                      <w:rFonts w:hint="eastAsia"/>
                      <w:szCs w:val="21"/>
                    </w:rPr>
                    <w:t>食品用塑料包装、容器、工具等制品</w:t>
                  </w:r>
                </w:p>
              </w:tc>
              <w:tc>
                <w:tcPr>
                  <w:tcW w:w="798" w:type="dxa"/>
                  <w:vAlign w:val="center"/>
                </w:tcPr>
                <w:p>
                  <w:pPr>
                    <w:jc w:val="center"/>
                    <w:rPr>
                      <w:szCs w:val="21"/>
                    </w:rPr>
                  </w:pPr>
                  <w:r>
                    <w:rPr>
                      <w:rFonts w:hint="eastAsia"/>
                      <w:szCs w:val="21"/>
                    </w:rPr>
                    <w:t>切片</w:t>
                  </w:r>
                </w:p>
              </w:tc>
              <w:tc>
                <w:tcPr>
                  <w:tcW w:w="2050" w:type="dxa"/>
                  <w:vAlign w:val="center"/>
                </w:tcPr>
                <w:p>
                  <w:pPr>
                    <w:jc w:val="center"/>
                    <w:rPr>
                      <w:szCs w:val="21"/>
                    </w:rPr>
                  </w:pPr>
                  <w:r>
                    <w:rPr>
                      <w:rFonts w:hint="eastAsia"/>
                      <w:szCs w:val="21"/>
                    </w:rPr>
                    <w:t>片材机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3</w:t>
                  </w:r>
                </w:p>
              </w:tc>
              <w:tc>
                <w:tcPr>
                  <w:tcW w:w="813" w:type="dxa"/>
                  <w:vAlign w:val="center"/>
                </w:tcPr>
                <w:p>
                  <w:pPr>
                    <w:jc w:val="center"/>
                    <w:rPr>
                      <w:szCs w:val="21"/>
                    </w:rPr>
                  </w:pPr>
                  <w:r>
                    <w:rPr>
                      <w:rFonts w:hint="eastAsia"/>
                      <w:szCs w:val="21"/>
                    </w:rPr>
                    <w:t>+3</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szCs w:val="21"/>
                    </w:rPr>
                  </w:pPr>
                  <w:r>
                    <w:rPr>
                      <w:kern w:val="0"/>
                      <w:szCs w:val="21"/>
                    </w:rPr>
                    <w:t>2</w:t>
                  </w:r>
                </w:p>
              </w:tc>
              <w:tc>
                <w:tcPr>
                  <w:tcW w:w="850" w:type="dxa"/>
                  <w:vMerge w:val="continue"/>
                  <w:vAlign w:val="center"/>
                </w:tcPr>
                <w:p>
                  <w:pPr>
                    <w:jc w:val="center"/>
                    <w:rPr>
                      <w:szCs w:val="21"/>
                    </w:rPr>
                  </w:pPr>
                </w:p>
              </w:tc>
              <w:tc>
                <w:tcPr>
                  <w:tcW w:w="798" w:type="dxa"/>
                  <w:vMerge w:val="restart"/>
                  <w:vAlign w:val="center"/>
                </w:tcPr>
                <w:p>
                  <w:pPr>
                    <w:jc w:val="center"/>
                    <w:rPr>
                      <w:szCs w:val="21"/>
                    </w:rPr>
                  </w:pPr>
                  <w:r>
                    <w:rPr>
                      <w:rFonts w:hint="eastAsia"/>
                      <w:szCs w:val="21"/>
                    </w:rPr>
                    <w:t>注塑</w:t>
                  </w:r>
                </w:p>
              </w:tc>
              <w:tc>
                <w:tcPr>
                  <w:tcW w:w="2050" w:type="dxa"/>
                  <w:vAlign w:val="center"/>
                </w:tcPr>
                <w:p>
                  <w:pPr>
                    <w:jc w:val="center"/>
                    <w:rPr>
                      <w:szCs w:val="21"/>
                    </w:rPr>
                  </w:pPr>
                  <w:r>
                    <w:rPr>
                      <w:rFonts w:hint="eastAsia"/>
                      <w:szCs w:val="21"/>
                    </w:rPr>
                    <w:t>吸塑、裁断一体机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4</w:t>
                  </w:r>
                </w:p>
              </w:tc>
              <w:tc>
                <w:tcPr>
                  <w:tcW w:w="813" w:type="dxa"/>
                  <w:vAlign w:val="center"/>
                </w:tcPr>
                <w:p>
                  <w:pPr>
                    <w:jc w:val="center"/>
                    <w:rPr>
                      <w:szCs w:val="21"/>
                    </w:rPr>
                  </w:pPr>
                  <w:r>
                    <w:rPr>
                      <w:rFonts w:hint="eastAsia"/>
                      <w:szCs w:val="21"/>
                    </w:rPr>
                    <w:t>+4</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kern w:val="0"/>
                      <w:szCs w:val="21"/>
                    </w:rPr>
                    <w:t>3</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吸塑机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5</w:t>
                  </w:r>
                </w:p>
              </w:tc>
              <w:tc>
                <w:tcPr>
                  <w:tcW w:w="813" w:type="dxa"/>
                  <w:vAlign w:val="center"/>
                </w:tcPr>
                <w:p>
                  <w:pPr>
                    <w:jc w:val="center"/>
                    <w:rPr>
                      <w:szCs w:val="21"/>
                    </w:rPr>
                  </w:pPr>
                  <w:r>
                    <w:rPr>
                      <w:rFonts w:hint="eastAsia"/>
                      <w:szCs w:val="21"/>
                    </w:rPr>
                    <w:t>+5</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kern w:val="0"/>
                      <w:szCs w:val="21"/>
                    </w:rPr>
                    <w:t>4</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裁断机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8</w:t>
                  </w:r>
                </w:p>
              </w:tc>
              <w:tc>
                <w:tcPr>
                  <w:tcW w:w="813" w:type="dxa"/>
                  <w:vAlign w:val="center"/>
                </w:tcPr>
                <w:p>
                  <w:pPr>
                    <w:jc w:val="center"/>
                    <w:rPr>
                      <w:szCs w:val="21"/>
                    </w:rPr>
                  </w:pPr>
                  <w:r>
                    <w:rPr>
                      <w:rFonts w:hint="eastAsia"/>
                      <w:szCs w:val="21"/>
                    </w:rPr>
                    <w:t>+8</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kern w:val="0"/>
                      <w:szCs w:val="21"/>
                    </w:rPr>
                    <w:t>5</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注塑机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6</w:t>
                  </w:r>
                </w:p>
              </w:tc>
              <w:tc>
                <w:tcPr>
                  <w:tcW w:w="813" w:type="dxa"/>
                  <w:vAlign w:val="center"/>
                </w:tcPr>
                <w:p>
                  <w:pPr>
                    <w:jc w:val="center"/>
                    <w:rPr>
                      <w:szCs w:val="21"/>
                    </w:rPr>
                  </w:pPr>
                  <w:r>
                    <w:rPr>
                      <w:rFonts w:hint="eastAsia"/>
                      <w:szCs w:val="21"/>
                    </w:rPr>
                    <w:t>+6</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kern w:val="0"/>
                      <w:szCs w:val="21"/>
                    </w:rPr>
                    <w:t>6</w:t>
                  </w:r>
                </w:p>
              </w:tc>
              <w:tc>
                <w:tcPr>
                  <w:tcW w:w="850" w:type="dxa"/>
                  <w:vMerge w:val="continue"/>
                  <w:vAlign w:val="center"/>
                </w:tcPr>
                <w:p>
                  <w:pPr>
                    <w:jc w:val="center"/>
                    <w:rPr>
                      <w:szCs w:val="21"/>
                    </w:rPr>
                  </w:pPr>
                </w:p>
              </w:tc>
              <w:tc>
                <w:tcPr>
                  <w:tcW w:w="798" w:type="dxa"/>
                  <w:vMerge w:val="restart"/>
                  <w:vAlign w:val="center"/>
                </w:tcPr>
                <w:p>
                  <w:pPr>
                    <w:jc w:val="center"/>
                    <w:rPr>
                      <w:szCs w:val="21"/>
                    </w:rPr>
                  </w:pPr>
                  <w:r>
                    <w:rPr>
                      <w:rFonts w:hint="eastAsia"/>
                      <w:szCs w:val="21"/>
                    </w:rPr>
                    <w:t>冷却</w:t>
                  </w:r>
                </w:p>
              </w:tc>
              <w:tc>
                <w:tcPr>
                  <w:tcW w:w="2050" w:type="dxa"/>
                  <w:vAlign w:val="center"/>
                </w:tcPr>
                <w:p>
                  <w:pPr>
                    <w:jc w:val="center"/>
                    <w:rPr>
                      <w:szCs w:val="21"/>
                    </w:rPr>
                  </w:pPr>
                  <w:r>
                    <w:rPr>
                      <w:rFonts w:hint="eastAsia"/>
                      <w:szCs w:val="21"/>
                    </w:rPr>
                    <w:t>软水处理器</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7</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软化水罐</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8</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冷却水塔</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2</w:t>
                  </w:r>
                </w:p>
              </w:tc>
              <w:tc>
                <w:tcPr>
                  <w:tcW w:w="813" w:type="dxa"/>
                  <w:vAlign w:val="center"/>
                </w:tcPr>
                <w:p>
                  <w:pPr>
                    <w:jc w:val="center"/>
                    <w:rPr>
                      <w:szCs w:val="21"/>
                    </w:rPr>
                  </w:pPr>
                  <w:r>
                    <w:rPr>
                      <w:rFonts w:hint="eastAsia"/>
                      <w:szCs w:val="21"/>
                    </w:rPr>
                    <w:t>+2</w:t>
                  </w:r>
                </w:p>
              </w:tc>
              <w:tc>
                <w:tcPr>
                  <w:tcW w:w="1289" w:type="dxa"/>
                  <w:vAlign w:val="center"/>
                </w:tcPr>
                <w:p>
                  <w:pPr>
                    <w:jc w:val="center"/>
                    <w:rPr>
                      <w:szCs w:val="21"/>
                    </w:rPr>
                  </w:pPr>
                  <w:r>
                    <w:rPr>
                      <w:rFonts w:hint="eastAsia"/>
                      <w:szCs w:val="21"/>
                    </w:rPr>
                    <w:t>外购，20T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9</w:t>
                  </w:r>
                </w:p>
              </w:tc>
              <w:tc>
                <w:tcPr>
                  <w:tcW w:w="850" w:type="dxa"/>
                  <w:vMerge w:val="continue"/>
                  <w:vAlign w:val="center"/>
                </w:tcPr>
                <w:p>
                  <w:pPr>
                    <w:jc w:val="center"/>
                    <w:rPr>
                      <w:szCs w:val="21"/>
                    </w:rPr>
                  </w:pPr>
                </w:p>
              </w:tc>
              <w:tc>
                <w:tcPr>
                  <w:tcW w:w="798" w:type="dxa"/>
                  <w:vAlign w:val="center"/>
                </w:tcPr>
                <w:p>
                  <w:pPr>
                    <w:jc w:val="center"/>
                    <w:rPr>
                      <w:szCs w:val="21"/>
                    </w:rPr>
                  </w:pPr>
                  <w:r>
                    <w:rPr>
                      <w:rFonts w:hint="eastAsia"/>
                      <w:szCs w:val="21"/>
                    </w:rPr>
                    <w:t>破碎</w:t>
                  </w:r>
                </w:p>
              </w:tc>
              <w:tc>
                <w:tcPr>
                  <w:tcW w:w="2050" w:type="dxa"/>
                  <w:vAlign w:val="center"/>
                </w:tcPr>
                <w:p>
                  <w:pPr>
                    <w:jc w:val="center"/>
                    <w:rPr>
                      <w:szCs w:val="21"/>
                    </w:rPr>
                  </w:pPr>
                  <w:r>
                    <w:rPr>
                      <w:rFonts w:hint="eastAsia"/>
                      <w:szCs w:val="21"/>
                    </w:rPr>
                    <w:t>粉碎机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5</w:t>
                  </w:r>
                </w:p>
              </w:tc>
              <w:tc>
                <w:tcPr>
                  <w:tcW w:w="813" w:type="dxa"/>
                  <w:vAlign w:val="center"/>
                </w:tcPr>
                <w:p>
                  <w:pPr>
                    <w:jc w:val="center"/>
                    <w:rPr>
                      <w:szCs w:val="21"/>
                    </w:rPr>
                  </w:pPr>
                  <w:r>
                    <w:rPr>
                      <w:rFonts w:hint="eastAsia"/>
                      <w:szCs w:val="21"/>
                    </w:rPr>
                    <w:t>+5</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10</w:t>
                  </w:r>
                </w:p>
              </w:tc>
              <w:tc>
                <w:tcPr>
                  <w:tcW w:w="850" w:type="dxa"/>
                  <w:vMerge w:val="continue"/>
                  <w:vAlign w:val="center"/>
                </w:tcPr>
                <w:p>
                  <w:pPr>
                    <w:jc w:val="center"/>
                    <w:rPr>
                      <w:szCs w:val="21"/>
                    </w:rPr>
                  </w:pPr>
                </w:p>
              </w:tc>
              <w:tc>
                <w:tcPr>
                  <w:tcW w:w="798" w:type="dxa"/>
                  <w:vMerge w:val="restart"/>
                  <w:vAlign w:val="center"/>
                </w:tcPr>
                <w:p>
                  <w:pPr>
                    <w:jc w:val="center"/>
                    <w:rPr>
                      <w:szCs w:val="21"/>
                    </w:rPr>
                  </w:pPr>
                  <w:r>
                    <w:rPr>
                      <w:rFonts w:hint="eastAsia"/>
                      <w:szCs w:val="21"/>
                    </w:rPr>
                    <w:t>吹塑</w:t>
                  </w:r>
                </w:p>
              </w:tc>
              <w:tc>
                <w:tcPr>
                  <w:tcW w:w="2050" w:type="dxa"/>
                  <w:vAlign w:val="center"/>
                </w:tcPr>
                <w:p>
                  <w:pPr>
                    <w:jc w:val="center"/>
                    <w:rPr>
                      <w:szCs w:val="21"/>
                    </w:rPr>
                  </w:pPr>
                  <w:r>
                    <w:rPr>
                      <w:rFonts w:hint="eastAsia"/>
                      <w:szCs w:val="21"/>
                    </w:rPr>
                    <w:t>空压机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11</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吹塑机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2</w:t>
                  </w:r>
                </w:p>
              </w:tc>
              <w:tc>
                <w:tcPr>
                  <w:tcW w:w="813" w:type="dxa"/>
                  <w:vAlign w:val="center"/>
                </w:tcPr>
                <w:p>
                  <w:pPr>
                    <w:jc w:val="center"/>
                    <w:rPr>
                      <w:szCs w:val="21"/>
                    </w:rPr>
                  </w:pPr>
                  <w:r>
                    <w:rPr>
                      <w:rFonts w:hint="eastAsia"/>
                      <w:szCs w:val="21"/>
                    </w:rPr>
                    <w:t>+2</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12</w:t>
                  </w:r>
                </w:p>
              </w:tc>
              <w:tc>
                <w:tcPr>
                  <w:tcW w:w="850" w:type="dxa"/>
                  <w:vMerge w:val="restart"/>
                  <w:vAlign w:val="center"/>
                </w:tcPr>
                <w:p>
                  <w:pPr>
                    <w:jc w:val="center"/>
                    <w:rPr>
                      <w:szCs w:val="21"/>
                    </w:rPr>
                  </w:pPr>
                  <w:r>
                    <w:rPr>
                      <w:rFonts w:hint="eastAsia"/>
                      <w:szCs w:val="21"/>
                    </w:rPr>
                    <w:t>夹心海苔生产线</w:t>
                  </w:r>
                </w:p>
              </w:tc>
              <w:tc>
                <w:tcPr>
                  <w:tcW w:w="798" w:type="dxa"/>
                  <w:vAlign w:val="center"/>
                </w:tcPr>
                <w:p>
                  <w:pPr>
                    <w:jc w:val="center"/>
                    <w:rPr>
                      <w:szCs w:val="21"/>
                    </w:rPr>
                  </w:pPr>
                  <w:r>
                    <w:rPr>
                      <w:rFonts w:hint="eastAsia"/>
                      <w:szCs w:val="21"/>
                    </w:rPr>
                    <w:t>炒制</w:t>
                  </w:r>
                </w:p>
              </w:tc>
              <w:tc>
                <w:tcPr>
                  <w:tcW w:w="2050" w:type="dxa"/>
                  <w:vAlign w:val="center"/>
                </w:tcPr>
                <w:p>
                  <w:pPr>
                    <w:jc w:val="center"/>
                    <w:rPr>
                      <w:szCs w:val="21"/>
                    </w:rPr>
                  </w:pPr>
                  <w:r>
                    <w:rPr>
                      <w:rFonts w:hint="eastAsia"/>
                      <w:szCs w:val="21"/>
                    </w:rPr>
                    <w:t>炒锅</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6</w:t>
                  </w:r>
                </w:p>
              </w:tc>
              <w:tc>
                <w:tcPr>
                  <w:tcW w:w="813" w:type="dxa"/>
                  <w:vAlign w:val="center"/>
                </w:tcPr>
                <w:p>
                  <w:pPr>
                    <w:jc w:val="center"/>
                    <w:rPr>
                      <w:szCs w:val="21"/>
                    </w:rPr>
                  </w:pPr>
                  <w:r>
                    <w:rPr>
                      <w:rFonts w:hint="eastAsia"/>
                      <w:szCs w:val="21"/>
                    </w:rPr>
                    <w:t>+6</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13</w:t>
                  </w:r>
                </w:p>
              </w:tc>
              <w:tc>
                <w:tcPr>
                  <w:tcW w:w="850" w:type="dxa"/>
                  <w:vMerge w:val="continue"/>
                  <w:vAlign w:val="center"/>
                </w:tcPr>
                <w:p>
                  <w:pPr>
                    <w:jc w:val="center"/>
                    <w:rPr>
                      <w:szCs w:val="21"/>
                    </w:rPr>
                  </w:pPr>
                </w:p>
              </w:tc>
              <w:tc>
                <w:tcPr>
                  <w:tcW w:w="798" w:type="dxa"/>
                  <w:vMerge w:val="restart"/>
                  <w:vAlign w:val="center"/>
                </w:tcPr>
                <w:p>
                  <w:pPr>
                    <w:jc w:val="center"/>
                    <w:rPr>
                      <w:szCs w:val="21"/>
                    </w:rPr>
                  </w:pPr>
                  <w:r>
                    <w:rPr>
                      <w:rFonts w:hint="eastAsia"/>
                      <w:szCs w:val="21"/>
                    </w:rPr>
                    <w:t>芝麻炒制</w:t>
                  </w:r>
                </w:p>
              </w:tc>
              <w:tc>
                <w:tcPr>
                  <w:tcW w:w="2050" w:type="dxa"/>
                  <w:vAlign w:val="center"/>
                </w:tcPr>
                <w:p>
                  <w:pPr>
                    <w:jc w:val="center"/>
                    <w:rPr>
                      <w:szCs w:val="21"/>
                    </w:rPr>
                  </w:pPr>
                  <w:r>
                    <w:rPr>
                      <w:rFonts w:hint="eastAsia"/>
                      <w:szCs w:val="21"/>
                    </w:rPr>
                    <w:t>提升机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3</w:t>
                  </w:r>
                </w:p>
              </w:tc>
              <w:tc>
                <w:tcPr>
                  <w:tcW w:w="813" w:type="dxa"/>
                  <w:vAlign w:val="center"/>
                </w:tcPr>
                <w:p>
                  <w:pPr>
                    <w:jc w:val="center"/>
                    <w:rPr>
                      <w:szCs w:val="21"/>
                    </w:rPr>
                  </w:pPr>
                  <w:r>
                    <w:rPr>
                      <w:rFonts w:hint="eastAsia"/>
                      <w:szCs w:val="21"/>
                    </w:rPr>
                    <w:t>+3</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14</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芝麻水洗机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15</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组合滤干机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16</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炒制机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17</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冷却机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18</w:t>
                  </w:r>
                </w:p>
              </w:tc>
              <w:tc>
                <w:tcPr>
                  <w:tcW w:w="850" w:type="dxa"/>
                  <w:vMerge w:val="continue"/>
                  <w:vAlign w:val="center"/>
                </w:tcPr>
                <w:p>
                  <w:pPr>
                    <w:jc w:val="center"/>
                    <w:rPr>
                      <w:szCs w:val="21"/>
                    </w:rPr>
                  </w:pPr>
                </w:p>
              </w:tc>
              <w:tc>
                <w:tcPr>
                  <w:tcW w:w="798" w:type="dxa"/>
                  <w:vMerge w:val="restart"/>
                  <w:vAlign w:val="center"/>
                </w:tcPr>
                <w:p>
                  <w:pPr>
                    <w:jc w:val="center"/>
                    <w:rPr>
                      <w:szCs w:val="21"/>
                    </w:rPr>
                  </w:pPr>
                  <w:r>
                    <w:rPr>
                      <w:rFonts w:hint="eastAsia"/>
                      <w:szCs w:val="21"/>
                    </w:rPr>
                    <w:t>调配</w:t>
                  </w:r>
                </w:p>
              </w:tc>
              <w:tc>
                <w:tcPr>
                  <w:tcW w:w="2050" w:type="dxa"/>
                  <w:vAlign w:val="center"/>
                </w:tcPr>
                <w:p>
                  <w:pPr>
                    <w:jc w:val="center"/>
                    <w:rPr>
                      <w:szCs w:val="21"/>
                    </w:rPr>
                  </w:pPr>
                  <w:r>
                    <w:rPr>
                      <w:rFonts w:hint="eastAsia"/>
                      <w:szCs w:val="21"/>
                    </w:rPr>
                    <w:t>脱水机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3</w:t>
                  </w:r>
                </w:p>
              </w:tc>
              <w:tc>
                <w:tcPr>
                  <w:tcW w:w="813" w:type="dxa"/>
                  <w:vAlign w:val="center"/>
                </w:tcPr>
                <w:p>
                  <w:pPr>
                    <w:jc w:val="center"/>
                    <w:rPr>
                      <w:szCs w:val="21"/>
                    </w:rPr>
                  </w:pPr>
                  <w:r>
                    <w:rPr>
                      <w:rFonts w:hint="eastAsia"/>
                      <w:szCs w:val="21"/>
                    </w:rPr>
                    <w:t>+3</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19</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烤箱</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3</w:t>
                  </w:r>
                </w:p>
              </w:tc>
              <w:tc>
                <w:tcPr>
                  <w:tcW w:w="813" w:type="dxa"/>
                  <w:vAlign w:val="center"/>
                </w:tcPr>
                <w:p>
                  <w:pPr>
                    <w:jc w:val="center"/>
                    <w:rPr>
                      <w:szCs w:val="21"/>
                    </w:rPr>
                  </w:pPr>
                  <w:r>
                    <w:rPr>
                      <w:rFonts w:hint="eastAsia"/>
                      <w:szCs w:val="21"/>
                    </w:rPr>
                    <w:t>+3</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20</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混料机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2</w:t>
                  </w:r>
                </w:p>
              </w:tc>
              <w:tc>
                <w:tcPr>
                  <w:tcW w:w="813" w:type="dxa"/>
                  <w:vAlign w:val="center"/>
                </w:tcPr>
                <w:p>
                  <w:pPr>
                    <w:jc w:val="center"/>
                    <w:rPr>
                      <w:szCs w:val="21"/>
                    </w:rPr>
                  </w:pPr>
                  <w:r>
                    <w:rPr>
                      <w:rFonts w:hint="eastAsia"/>
                      <w:szCs w:val="21"/>
                    </w:rPr>
                    <w:t>+2</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21</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老姜机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22</w:t>
                  </w:r>
                </w:p>
              </w:tc>
              <w:tc>
                <w:tcPr>
                  <w:tcW w:w="850" w:type="dxa"/>
                  <w:vMerge w:val="continue"/>
                  <w:vAlign w:val="center"/>
                </w:tcPr>
                <w:p>
                  <w:pPr>
                    <w:jc w:val="center"/>
                    <w:rPr>
                      <w:szCs w:val="21"/>
                    </w:rPr>
                  </w:pPr>
                </w:p>
              </w:tc>
              <w:tc>
                <w:tcPr>
                  <w:tcW w:w="798" w:type="dxa"/>
                  <w:vMerge w:val="restart"/>
                  <w:vAlign w:val="center"/>
                </w:tcPr>
                <w:p>
                  <w:pPr>
                    <w:jc w:val="center"/>
                    <w:rPr>
                      <w:szCs w:val="21"/>
                    </w:rPr>
                  </w:pPr>
                  <w:r>
                    <w:rPr>
                      <w:rFonts w:hint="eastAsia"/>
                      <w:szCs w:val="21"/>
                    </w:rPr>
                    <w:t>熬糖</w:t>
                  </w:r>
                </w:p>
              </w:tc>
              <w:tc>
                <w:tcPr>
                  <w:tcW w:w="2050" w:type="dxa"/>
                  <w:vAlign w:val="center"/>
                </w:tcPr>
                <w:p>
                  <w:pPr>
                    <w:jc w:val="center"/>
                    <w:rPr>
                      <w:szCs w:val="21"/>
                    </w:rPr>
                  </w:pPr>
                  <w:r>
                    <w:rPr>
                      <w:rFonts w:hint="eastAsia"/>
                      <w:szCs w:val="21"/>
                    </w:rPr>
                    <w:t>脱水机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23</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夹层锅</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5</w:t>
                  </w:r>
                </w:p>
              </w:tc>
              <w:tc>
                <w:tcPr>
                  <w:tcW w:w="813" w:type="dxa"/>
                  <w:vAlign w:val="center"/>
                </w:tcPr>
                <w:p>
                  <w:pPr>
                    <w:jc w:val="center"/>
                    <w:rPr>
                      <w:szCs w:val="21"/>
                    </w:rPr>
                  </w:pPr>
                  <w:r>
                    <w:rPr>
                      <w:rFonts w:hint="eastAsia"/>
                      <w:szCs w:val="21"/>
                    </w:rPr>
                    <w:t>+5</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24</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老姜机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25</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糖浆罐</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2</w:t>
                  </w:r>
                </w:p>
              </w:tc>
              <w:tc>
                <w:tcPr>
                  <w:tcW w:w="813" w:type="dxa"/>
                  <w:vAlign w:val="center"/>
                </w:tcPr>
                <w:p>
                  <w:pPr>
                    <w:jc w:val="center"/>
                    <w:rPr>
                      <w:szCs w:val="21"/>
                    </w:rPr>
                  </w:pPr>
                  <w:r>
                    <w:rPr>
                      <w:rFonts w:hint="eastAsia"/>
                      <w:szCs w:val="21"/>
                    </w:rPr>
                    <w:t>+2</w:t>
                  </w:r>
                </w:p>
              </w:tc>
              <w:tc>
                <w:tcPr>
                  <w:tcW w:w="1289" w:type="dxa"/>
                  <w:vAlign w:val="center"/>
                </w:tcPr>
                <w:p>
                  <w:pPr>
                    <w:jc w:val="center"/>
                    <w:rPr>
                      <w:szCs w:val="21"/>
                    </w:rPr>
                  </w:pPr>
                  <w:r>
                    <w:rPr>
                      <w:rFonts w:hint="eastAsia"/>
                      <w:szCs w:val="21"/>
                    </w:rPr>
                    <w:t>外购，400L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26</w:t>
                  </w:r>
                </w:p>
              </w:tc>
              <w:tc>
                <w:tcPr>
                  <w:tcW w:w="850" w:type="dxa"/>
                  <w:vMerge w:val="continue"/>
                  <w:vAlign w:val="center"/>
                </w:tcPr>
                <w:p>
                  <w:pPr>
                    <w:jc w:val="center"/>
                    <w:rPr>
                      <w:szCs w:val="21"/>
                    </w:rPr>
                  </w:pPr>
                </w:p>
              </w:tc>
              <w:tc>
                <w:tcPr>
                  <w:tcW w:w="798" w:type="dxa"/>
                  <w:vMerge w:val="restart"/>
                  <w:vAlign w:val="center"/>
                </w:tcPr>
                <w:p>
                  <w:pPr>
                    <w:jc w:val="center"/>
                    <w:rPr>
                      <w:szCs w:val="21"/>
                    </w:rPr>
                  </w:pPr>
                  <w:r>
                    <w:rPr>
                      <w:rFonts w:hint="eastAsia"/>
                      <w:szCs w:val="21"/>
                    </w:rPr>
                    <w:t>夹心脆生产</w:t>
                  </w:r>
                </w:p>
              </w:tc>
              <w:tc>
                <w:tcPr>
                  <w:tcW w:w="2050" w:type="dxa"/>
                  <w:vAlign w:val="center"/>
                </w:tcPr>
                <w:p>
                  <w:pPr>
                    <w:jc w:val="center"/>
                    <w:rPr>
                      <w:szCs w:val="21"/>
                    </w:rPr>
                  </w:pPr>
                  <w:r>
                    <w:rPr>
                      <w:rFonts w:hint="eastAsia"/>
                      <w:szCs w:val="21"/>
                    </w:rPr>
                    <w:t>发菜机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6</w:t>
                  </w:r>
                </w:p>
              </w:tc>
              <w:tc>
                <w:tcPr>
                  <w:tcW w:w="813" w:type="dxa"/>
                  <w:vAlign w:val="center"/>
                </w:tcPr>
                <w:p>
                  <w:pPr>
                    <w:jc w:val="center"/>
                    <w:rPr>
                      <w:szCs w:val="21"/>
                    </w:rPr>
                  </w:pPr>
                  <w:r>
                    <w:rPr>
                      <w:rFonts w:hint="eastAsia"/>
                      <w:szCs w:val="21"/>
                    </w:rPr>
                    <w:t>+6</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27</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隧道炉</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6</w:t>
                  </w:r>
                </w:p>
              </w:tc>
              <w:tc>
                <w:tcPr>
                  <w:tcW w:w="813" w:type="dxa"/>
                  <w:vAlign w:val="center"/>
                </w:tcPr>
                <w:p>
                  <w:pPr>
                    <w:jc w:val="center"/>
                    <w:rPr>
                      <w:szCs w:val="21"/>
                    </w:rPr>
                  </w:pPr>
                  <w:r>
                    <w:rPr>
                      <w:rFonts w:hint="eastAsia"/>
                      <w:szCs w:val="21"/>
                    </w:rPr>
                    <w:t>+6</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28</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喷糖浆机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6</w:t>
                  </w:r>
                </w:p>
              </w:tc>
              <w:tc>
                <w:tcPr>
                  <w:tcW w:w="813" w:type="dxa"/>
                  <w:vAlign w:val="center"/>
                </w:tcPr>
                <w:p>
                  <w:pPr>
                    <w:jc w:val="center"/>
                    <w:rPr>
                      <w:szCs w:val="21"/>
                    </w:rPr>
                  </w:pPr>
                  <w:r>
                    <w:rPr>
                      <w:rFonts w:hint="eastAsia"/>
                      <w:szCs w:val="21"/>
                    </w:rPr>
                    <w:t>+6</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29</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撒料机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6</w:t>
                  </w:r>
                </w:p>
              </w:tc>
              <w:tc>
                <w:tcPr>
                  <w:tcW w:w="813" w:type="dxa"/>
                  <w:vAlign w:val="center"/>
                </w:tcPr>
                <w:p>
                  <w:pPr>
                    <w:jc w:val="center"/>
                    <w:rPr>
                      <w:szCs w:val="21"/>
                    </w:rPr>
                  </w:pPr>
                  <w:r>
                    <w:rPr>
                      <w:rFonts w:hint="eastAsia"/>
                      <w:szCs w:val="21"/>
                    </w:rPr>
                    <w:t>+6</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30</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网链压合机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6</w:t>
                  </w:r>
                </w:p>
              </w:tc>
              <w:tc>
                <w:tcPr>
                  <w:tcW w:w="813" w:type="dxa"/>
                  <w:vAlign w:val="center"/>
                </w:tcPr>
                <w:p>
                  <w:pPr>
                    <w:jc w:val="center"/>
                    <w:rPr>
                      <w:szCs w:val="21"/>
                    </w:rPr>
                  </w:pPr>
                  <w:r>
                    <w:rPr>
                      <w:rFonts w:hint="eastAsia"/>
                      <w:szCs w:val="21"/>
                    </w:rPr>
                    <w:t>+6</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31</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连续式红外线烤炉</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6</w:t>
                  </w:r>
                </w:p>
              </w:tc>
              <w:tc>
                <w:tcPr>
                  <w:tcW w:w="813" w:type="dxa"/>
                  <w:vAlign w:val="center"/>
                </w:tcPr>
                <w:p>
                  <w:pPr>
                    <w:jc w:val="center"/>
                    <w:rPr>
                      <w:szCs w:val="21"/>
                    </w:rPr>
                  </w:pPr>
                  <w:r>
                    <w:rPr>
                      <w:rFonts w:hint="eastAsia"/>
                      <w:szCs w:val="21"/>
                    </w:rPr>
                    <w:t>+6</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32</w:t>
                  </w:r>
                </w:p>
              </w:tc>
              <w:tc>
                <w:tcPr>
                  <w:tcW w:w="850" w:type="dxa"/>
                  <w:vMerge w:val="continue"/>
                  <w:vAlign w:val="center"/>
                </w:tcPr>
                <w:p>
                  <w:pPr>
                    <w:jc w:val="center"/>
                    <w:rPr>
                      <w:szCs w:val="21"/>
                    </w:rPr>
                  </w:pPr>
                </w:p>
              </w:tc>
              <w:tc>
                <w:tcPr>
                  <w:tcW w:w="798" w:type="dxa"/>
                  <w:vMerge w:val="restart"/>
                  <w:vAlign w:val="center"/>
                </w:tcPr>
                <w:p>
                  <w:pPr>
                    <w:jc w:val="center"/>
                    <w:rPr>
                      <w:szCs w:val="21"/>
                    </w:rPr>
                  </w:pPr>
                  <w:r>
                    <w:rPr>
                      <w:rFonts w:hint="eastAsia"/>
                      <w:szCs w:val="21"/>
                    </w:rPr>
                    <w:t>内外包装</w:t>
                  </w:r>
                </w:p>
              </w:tc>
              <w:tc>
                <w:tcPr>
                  <w:tcW w:w="2050" w:type="dxa"/>
                  <w:vAlign w:val="center"/>
                </w:tcPr>
                <w:p>
                  <w:pPr>
                    <w:jc w:val="center"/>
                    <w:rPr>
                      <w:szCs w:val="21"/>
                    </w:rPr>
                  </w:pPr>
                  <w:r>
                    <w:rPr>
                      <w:rFonts w:hint="eastAsia"/>
                      <w:szCs w:val="21"/>
                    </w:rPr>
                    <w:t>十二切内包装线</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10</w:t>
                  </w:r>
                </w:p>
              </w:tc>
              <w:tc>
                <w:tcPr>
                  <w:tcW w:w="813" w:type="dxa"/>
                  <w:vAlign w:val="center"/>
                </w:tcPr>
                <w:p>
                  <w:pPr>
                    <w:jc w:val="center"/>
                    <w:rPr>
                      <w:szCs w:val="21"/>
                    </w:rPr>
                  </w:pPr>
                  <w:r>
                    <w:rPr>
                      <w:rFonts w:hint="eastAsia"/>
                      <w:szCs w:val="21"/>
                    </w:rPr>
                    <w:t>+10</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33</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八切机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4</w:t>
                  </w:r>
                </w:p>
              </w:tc>
              <w:tc>
                <w:tcPr>
                  <w:tcW w:w="813" w:type="dxa"/>
                  <w:vAlign w:val="center"/>
                </w:tcPr>
                <w:p>
                  <w:pPr>
                    <w:jc w:val="center"/>
                    <w:rPr>
                      <w:szCs w:val="21"/>
                    </w:rPr>
                  </w:pPr>
                  <w:r>
                    <w:rPr>
                      <w:rFonts w:hint="eastAsia"/>
                      <w:szCs w:val="21"/>
                    </w:rPr>
                    <w:t>+4</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34</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包装机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14</w:t>
                  </w:r>
                </w:p>
              </w:tc>
              <w:tc>
                <w:tcPr>
                  <w:tcW w:w="813" w:type="dxa"/>
                  <w:vAlign w:val="center"/>
                </w:tcPr>
                <w:p>
                  <w:pPr>
                    <w:jc w:val="center"/>
                    <w:rPr>
                      <w:szCs w:val="21"/>
                    </w:rPr>
                  </w:pPr>
                  <w:r>
                    <w:rPr>
                      <w:rFonts w:hint="eastAsia"/>
                      <w:szCs w:val="21"/>
                    </w:rPr>
                    <w:t>+14</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35</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激光打码机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14</w:t>
                  </w:r>
                </w:p>
              </w:tc>
              <w:tc>
                <w:tcPr>
                  <w:tcW w:w="813" w:type="dxa"/>
                  <w:vAlign w:val="center"/>
                </w:tcPr>
                <w:p>
                  <w:pPr>
                    <w:jc w:val="center"/>
                    <w:rPr>
                      <w:szCs w:val="21"/>
                    </w:rPr>
                  </w:pPr>
                  <w:r>
                    <w:rPr>
                      <w:rFonts w:hint="eastAsia"/>
                      <w:szCs w:val="21"/>
                    </w:rPr>
                    <w:t>+14</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36</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投胶盒机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4</w:t>
                  </w:r>
                </w:p>
              </w:tc>
              <w:tc>
                <w:tcPr>
                  <w:tcW w:w="813" w:type="dxa"/>
                  <w:vAlign w:val="center"/>
                </w:tcPr>
                <w:p>
                  <w:pPr>
                    <w:jc w:val="center"/>
                    <w:rPr>
                      <w:szCs w:val="21"/>
                    </w:rPr>
                  </w:pPr>
                  <w:r>
                    <w:rPr>
                      <w:rFonts w:hint="eastAsia"/>
                      <w:szCs w:val="21"/>
                    </w:rPr>
                    <w:t>+4</w:t>
                  </w:r>
                </w:p>
              </w:tc>
              <w:tc>
                <w:tcPr>
                  <w:tcW w:w="1289" w:type="dxa"/>
                  <w:vAlign w:val="center"/>
                </w:tcPr>
                <w:p>
                  <w:pPr>
                    <w:jc w:val="center"/>
                    <w:rPr>
                      <w:szCs w:val="21"/>
                    </w:rPr>
                  </w:pPr>
                  <w:r>
                    <w:rPr>
                      <w:rFonts w:hint="eastAsia"/>
                      <w:szCs w:val="21"/>
                    </w:rPr>
                    <w:t>外购，A型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37</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投包机（干燥剂）</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4</w:t>
                  </w:r>
                </w:p>
              </w:tc>
              <w:tc>
                <w:tcPr>
                  <w:tcW w:w="813" w:type="dxa"/>
                  <w:vAlign w:val="center"/>
                </w:tcPr>
                <w:p>
                  <w:pPr>
                    <w:jc w:val="center"/>
                    <w:rPr>
                      <w:szCs w:val="21"/>
                    </w:rPr>
                  </w:pPr>
                  <w:r>
                    <w:rPr>
                      <w:rFonts w:hint="eastAsia"/>
                      <w:szCs w:val="21"/>
                    </w:rPr>
                    <w:t>+4</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38</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封箱机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10</w:t>
                  </w:r>
                </w:p>
              </w:tc>
              <w:tc>
                <w:tcPr>
                  <w:tcW w:w="813" w:type="dxa"/>
                  <w:vAlign w:val="center"/>
                </w:tcPr>
                <w:p>
                  <w:pPr>
                    <w:jc w:val="center"/>
                    <w:rPr>
                      <w:szCs w:val="21"/>
                    </w:rPr>
                  </w:pPr>
                  <w:r>
                    <w:rPr>
                      <w:rFonts w:hint="eastAsia"/>
                      <w:szCs w:val="21"/>
                    </w:rPr>
                    <w:t>+10</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39</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金检机</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10</w:t>
                  </w:r>
                </w:p>
              </w:tc>
              <w:tc>
                <w:tcPr>
                  <w:tcW w:w="813" w:type="dxa"/>
                  <w:vAlign w:val="center"/>
                </w:tcPr>
                <w:p>
                  <w:pPr>
                    <w:jc w:val="center"/>
                    <w:rPr>
                      <w:szCs w:val="21"/>
                    </w:rPr>
                  </w:pPr>
                  <w:r>
                    <w:rPr>
                      <w:rFonts w:hint="eastAsia"/>
                      <w:szCs w:val="21"/>
                    </w:rPr>
                    <w:t>+10</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40</w:t>
                  </w:r>
                </w:p>
              </w:tc>
              <w:tc>
                <w:tcPr>
                  <w:tcW w:w="850" w:type="dxa"/>
                  <w:vMerge w:val="restart"/>
                  <w:vAlign w:val="center"/>
                </w:tcPr>
                <w:p>
                  <w:pPr>
                    <w:jc w:val="center"/>
                    <w:rPr>
                      <w:szCs w:val="21"/>
                    </w:rPr>
                  </w:pPr>
                  <w:r>
                    <w:rPr>
                      <w:rFonts w:hint="eastAsia"/>
                      <w:szCs w:val="21"/>
                    </w:rPr>
                    <w:t>原味海苔</w:t>
                  </w:r>
                </w:p>
              </w:tc>
              <w:tc>
                <w:tcPr>
                  <w:tcW w:w="798" w:type="dxa"/>
                  <w:vMerge w:val="restart"/>
                  <w:vAlign w:val="center"/>
                </w:tcPr>
                <w:p>
                  <w:pPr>
                    <w:jc w:val="center"/>
                    <w:rPr>
                      <w:szCs w:val="21"/>
                    </w:rPr>
                  </w:pPr>
                  <w:r>
                    <w:rPr>
                      <w:rFonts w:hint="eastAsia"/>
                      <w:szCs w:val="21"/>
                    </w:rPr>
                    <w:t>烤制、调配</w:t>
                  </w:r>
                </w:p>
              </w:tc>
              <w:tc>
                <w:tcPr>
                  <w:tcW w:w="2050" w:type="dxa"/>
                  <w:vAlign w:val="center"/>
                </w:tcPr>
                <w:p>
                  <w:pPr>
                    <w:jc w:val="center"/>
                    <w:rPr>
                      <w:szCs w:val="21"/>
                    </w:rPr>
                  </w:pPr>
                  <w:r>
                    <w:rPr>
                      <w:rFonts w:hint="eastAsia"/>
                      <w:szCs w:val="21"/>
                    </w:rPr>
                    <w:t>烤机</w:t>
                  </w:r>
                </w:p>
              </w:tc>
              <w:tc>
                <w:tcPr>
                  <w:tcW w:w="692" w:type="dxa"/>
                  <w:vAlign w:val="center"/>
                </w:tcPr>
                <w:p>
                  <w:pPr>
                    <w:jc w:val="center"/>
                    <w:rPr>
                      <w:szCs w:val="21"/>
                    </w:rPr>
                  </w:pPr>
                  <w:r>
                    <w:rPr>
                      <w:rFonts w:hint="eastAsia"/>
                      <w:szCs w:val="21"/>
                    </w:rPr>
                    <w:t>6</w:t>
                  </w:r>
                </w:p>
              </w:tc>
              <w:tc>
                <w:tcPr>
                  <w:tcW w:w="750" w:type="dxa"/>
                  <w:vAlign w:val="center"/>
                </w:tcPr>
                <w:p>
                  <w:pPr>
                    <w:jc w:val="center"/>
                    <w:rPr>
                      <w:szCs w:val="21"/>
                    </w:rPr>
                  </w:pPr>
                  <w:r>
                    <w:rPr>
                      <w:rFonts w:hint="eastAsia"/>
                      <w:szCs w:val="21"/>
                    </w:rPr>
                    <w:t>10</w:t>
                  </w:r>
                </w:p>
              </w:tc>
              <w:tc>
                <w:tcPr>
                  <w:tcW w:w="813" w:type="dxa"/>
                  <w:vAlign w:val="center"/>
                </w:tcPr>
                <w:p>
                  <w:pPr>
                    <w:jc w:val="center"/>
                    <w:rPr>
                      <w:szCs w:val="21"/>
                    </w:rPr>
                  </w:pPr>
                  <w:r>
                    <w:rPr>
                      <w:rFonts w:hint="eastAsia"/>
                      <w:szCs w:val="21"/>
                    </w:rPr>
                    <w:t>+4</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41</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隧道炉</w:t>
                  </w:r>
                </w:p>
              </w:tc>
              <w:tc>
                <w:tcPr>
                  <w:tcW w:w="692" w:type="dxa"/>
                  <w:vAlign w:val="center"/>
                </w:tcPr>
                <w:p>
                  <w:pPr>
                    <w:jc w:val="center"/>
                    <w:rPr>
                      <w:szCs w:val="21"/>
                    </w:rPr>
                  </w:pPr>
                  <w:r>
                    <w:rPr>
                      <w:rFonts w:hint="eastAsia"/>
                      <w:szCs w:val="21"/>
                    </w:rPr>
                    <w:t>6</w:t>
                  </w:r>
                </w:p>
              </w:tc>
              <w:tc>
                <w:tcPr>
                  <w:tcW w:w="750" w:type="dxa"/>
                  <w:vAlign w:val="center"/>
                </w:tcPr>
                <w:p>
                  <w:pPr>
                    <w:jc w:val="center"/>
                    <w:rPr>
                      <w:szCs w:val="21"/>
                    </w:rPr>
                  </w:pPr>
                  <w:r>
                    <w:rPr>
                      <w:rFonts w:hint="eastAsia"/>
                      <w:szCs w:val="21"/>
                    </w:rPr>
                    <w:t>10</w:t>
                  </w:r>
                </w:p>
              </w:tc>
              <w:tc>
                <w:tcPr>
                  <w:tcW w:w="813" w:type="dxa"/>
                  <w:vAlign w:val="center"/>
                </w:tcPr>
                <w:p>
                  <w:pPr>
                    <w:jc w:val="center"/>
                    <w:rPr>
                      <w:szCs w:val="21"/>
                    </w:rPr>
                  </w:pPr>
                  <w:r>
                    <w:rPr>
                      <w:rFonts w:hint="eastAsia"/>
                      <w:szCs w:val="21"/>
                    </w:rPr>
                    <w:t>+4</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42</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调味机</w:t>
                  </w:r>
                </w:p>
              </w:tc>
              <w:tc>
                <w:tcPr>
                  <w:tcW w:w="692" w:type="dxa"/>
                  <w:vAlign w:val="center"/>
                </w:tcPr>
                <w:p>
                  <w:pPr>
                    <w:jc w:val="center"/>
                    <w:rPr>
                      <w:szCs w:val="21"/>
                    </w:rPr>
                  </w:pPr>
                  <w:r>
                    <w:rPr>
                      <w:rFonts w:hint="eastAsia"/>
                      <w:szCs w:val="21"/>
                    </w:rPr>
                    <w:t>6</w:t>
                  </w:r>
                </w:p>
              </w:tc>
              <w:tc>
                <w:tcPr>
                  <w:tcW w:w="750" w:type="dxa"/>
                  <w:vAlign w:val="center"/>
                </w:tcPr>
                <w:p>
                  <w:pPr>
                    <w:jc w:val="center"/>
                    <w:rPr>
                      <w:szCs w:val="21"/>
                    </w:rPr>
                  </w:pPr>
                  <w:r>
                    <w:rPr>
                      <w:rFonts w:hint="eastAsia"/>
                      <w:szCs w:val="21"/>
                    </w:rPr>
                    <w:t>10</w:t>
                  </w:r>
                </w:p>
              </w:tc>
              <w:tc>
                <w:tcPr>
                  <w:tcW w:w="813" w:type="dxa"/>
                  <w:vAlign w:val="center"/>
                </w:tcPr>
                <w:p>
                  <w:pPr>
                    <w:jc w:val="center"/>
                    <w:rPr>
                      <w:szCs w:val="21"/>
                    </w:rPr>
                  </w:pPr>
                  <w:r>
                    <w:rPr>
                      <w:rFonts w:hint="eastAsia"/>
                      <w:szCs w:val="21"/>
                    </w:rPr>
                    <w:t>+4</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43</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再干机</w:t>
                  </w:r>
                </w:p>
              </w:tc>
              <w:tc>
                <w:tcPr>
                  <w:tcW w:w="692" w:type="dxa"/>
                  <w:vAlign w:val="center"/>
                </w:tcPr>
                <w:p>
                  <w:pPr>
                    <w:jc w:val="center"/>
                    <w:rPr>
                      <w:szCs w:val="21"/>
                    </w:rPr>
                  </w:pPr>
                  <w:r>
                    <w:rPr>
                      <w:rFonts w:hint="eastAsia"/>
                      <w:szCs w:val="21"/>
                    </w:rPr>
                    <w:t>3</w:t>
                  </w:r>
                </w:p>
              </w:tc>
              <w:tc>
                <w:tcPr>
                  <w:tcW w:w="750" w:type="dxa"/>
                  <w:vAlign w:val="center"/>
                </w:tcPr>
                <w:p>
                  <w:pPr>
                    <w:jc w:val="center"/>
                    <w:rPr>
                      <w:szCs w:val="21"/>
                    </w:rPr>
                  </w:pPr>
                  <w:r>
                    <w:rPr>
                      <w:rFonts w:hint="eastAsia"/>
                      <w:szCs w:val="21"/>
                    </w:rPr>
                    <w:t>3</w:t>
                  </w:r>
                </w:p>
              </w:tc>
              <w:tc>
                <w:tcPr>
                  <w:tcW w:w="813" w:type="dxa"/>
                  <w:vAlign w:val="center"/>
                </w:tcPr>
                <w:p>
                  <w:pPr>
                    <w:jc w:val="center"/>
                    <w:rPr>
                      <w:szCs w:val="21"/>
                    </w:rPr>
                  </w:pPr>
                  <w:r>
                    <w:rPr>
                      <w:rFonts w:hint="eastAsia"/>
                      <w:szCs w:val="21"/>
                    </w:rPr>
                    <w:t>0</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44</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夹层锅</w:t>
                  </w:r>
                </w:p>
              </w:tc>
              <w:tc>
                <w:tcPr>
                  <w:tcW w:w="692" w:type="dxa"/>
                  <w:vAlign w:val="center"/>
                </w:tcPr>
                <w:p>
                  <w:pPr>
                    <w:jc w:val="center"/>
                    <w:rPr>
                      <w:szCs w:val="21"/>
                    </w:rPr>
                  </w:pPr>
                  <w:r>
                    <w:rPr>
                      <w:rFonts w:hint="eastAsia"/>
                      <w:szCs w:val="21"/>
                    </w:rPr>
                    <w:t>3</w:t>
                  </w:r>
                </w:p>
              </w:tc>
              <w:tc>
                <w:tcPr>
                  <w:tcW w:w="750" w:type="dxa"/>
                  <w:vAlign w:val="center"/>
                </w:tcPr>
                <w:p>
                  <w:pPr>
                    <w:jc w:val="center"/>
                    <w:rPr>
                      <w:szCs w:val="21"/>
                    </w:rPr>
                  </w:pPr>
                  <w:r>
                    <w:rPr>
                      <w:rFonts w:hint="eastAsia"/>
                      <w:szCs w:val="21"/>
                    </w:rPr>
                    <w:t>3</w:t>
                  </w:r>
                </w:p>
              </w:tc>
              <w:tc>
                <w:tcPr>
                  <w:tcW w:w="813" w:type="dxa"/>
                  <w:vAlign w:val="center"/>
                </w:tcPr>
                <w:p>
                  <w:pPr>
                    <w:jc w:val="center"/>
                    <w:rPr>
                      <w:szCs w:val="21"/>
                    </w:rPr>
                  </w:pPr>
                  <w:r>
                    <w:rPr>
                      <w:rFonts w:hint="eastAsia"/>
                      <w:szCs w:val="21"/>
                    </w:rPr>
                    <w:t>0</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45</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空压机</w:t>
                  </w:r>
                </w:p>
              </w:tc>
              <w:tc>
                <w:tcPr>
                  <w:tcW w:w="692" w:type="dxa"/>
                  <w:vAlign w:val="center"/>
                </w:tcPr>
                <w:p>
                  <w:pPr>
                    <w:jc w:val="center"/>
                    <w:rPr>
                      <w:szCs w:val="21"/>
                    </w:rPr>
                  </w:pPr>
                  <w:r>
                    <w:rPr>
                      <w:rFonts w:hint="eastAsia"/>
                      <w:szCs w:val="21"/>
                    </w:rPr>
                    <w:t>2</w:t>
                  </w:r>
                </w:p>
              </w:tc>
              <w:tc>
                <w:tcPr>
                  <w:tcW w:w="750" w:type="dxa"/>
                  <w:vAlign w:val="center"/>
                </w:tcPr>
                <w:p>
                  <w:pPr>
                    <w:jc w:val="center"/>
                    <w:rPr>
                      <w:szCs w:val="21"/>
                    </w:rPr>
                  </w:pPr>
                  <w:r>
                    <w:rPr>
                      <w:rFonts w:hint="eastAsia"/>
                      <w:szCs w:val="21"/>
                    </w:rPr>
                    <w:t>2</w:t>
                  </w:r>
                </w:p>
              </w:tc>
              <w:tc>
                <w:tcPr>
                  <w:tcW w:w="813" w:type="dxa"/>
                  <w:vAlign w:val="center"/>
                </w:tcPr>
                <w:p>
                  <w:pPr>
                    <w:jc w:val="center"/>
                    <w:rPr>
                      <w:szCs w:val="21"/>
                    </w:rPr>
                  </w:pPr>
                  <w:r>
                    <w:rPr>
                      <w:rFonts w:hint="eastAsia"/>
                      <w:szCs w:val="21"/>
                    </w:rPr>
                    <w:t>0</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46</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天然气锅炉</w:t>
                  </w:r>
                </w:p>
              </w:tc>
              <w:tc>
                <w:tcPr>
                  <w:tcW w:w="692" w:type="dxa"/>
                  <w:vAlign w:val="center"/>
                </w:tcPr>
                <w:p>
                  <w:pPr>
                    <w:jc w:val="center"/>
                    <w:rPr>
                      <w:szCs w:val="21"/>
                    </w:rPr>
                  </w:pPr>
                  <w:r>
                    <w:rPr>
                      <w:rFonts w:hint="eastAsia"/>
                      <w:szCs w:val="21"/>
                    </w:rPr>
                    <w:t>1</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0</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47</w:t>
                  </w:r>
                </w:p>
              </w:tc>
              <w:tc>
                <w:tcPr>
                  <w:tcW w:w="850" w:type="dxa"/>
                  <w:vMerge w:val="continue"/>
                  <w:vAlign w:val="center"/>
                </w:tcPr>
                <w:p>
                  <w:pPr>
                    <w:jc w:val="center"/>
                    <w:rPr>
                      <w:szCs w:val="21"/>
                    </w:rPr>
                  </w:pPr>
                </w:p>
              </w:tc>
              <w:tc>
                <w:tcPr>
                  <w:tcW w:w="798" w:type="dxa"/>
                  <w:vMerge w:val="restart"/>
                  <w:vAlign w:val="center"/>
                </w:tcPr>
                <w:p>
                  <w:pPr>
                    <w:jc w:val="center"/>
                    <w:rPr>
                      <w:szCs w:val="21"/>
                    </w:rPr>
                  </w:pPr>
                  <w:r>
                    <w:rPr>
                      <w:rFonts w:hint="eastAsia"/>
                      <w:szCs w:val="21"/>
                    </w:rPr>
                    <w:t>内外包装生产</w:t>
                  </w:r>
                </w:p>
              </w:tc>
              <w:tc>
                <w:tcPr>
                  <w:tcW w:w="2050" w:type="dxa"/>
                  <w:vAlign w:val="center"/>
                </w:tcPr>
                <w:p>
                  <w:pPr>
                    <w:jc w:val="center"/>
                    <w:rPr>
                      <w:szCs w:val="21"/>
                    </w:rPr>
                  </w:pPr>
                  <w:r>
                    <w:rPr>
                      <w:rFonts w:hint="eastAsia"/>
                      <w:szCs w:val="21"/>
                    </w:rPr>
                    <w:t>十二切内包装线</w:t>
                  </w:r>
                </w:p>
              </w:tc>
              <w:tc>
                <w:tcPr>
                  <w:tcW w:w="692" w:type="dxa"/>
                  <w:vAlign w:val="center"/>
                </w:tcPr>
                <w:p>
                  <w:pPr>
                    <w:jc w:val="center"/>
                    <w:rPr>
                      <w:szCs w:val="21"/>
                    </w:rPr>
                  </w:pPr>
                  <w:r>
                    <w:rPr>
                      <w:rFonts w:hint="eastAsia"/>
                      <w:szCs w:val="21"/>
                    </w:rPr>
                    <w:t>8</w:t>
                  </w:r>
                </w:p>
              </w:tc>
              <w:tc>
                <w:tcPr>
                  <w:tcW w:w="750" w:type="dxa"/>
                  <w:vAlign w:val="center"/>
                </w:tcPr>
                <w:p>
                  <w:pPr>
                    <w:jc w:val="center"/>
                    <w:rPr>
                      <w:szCs w:val="21"/>
                    </w:rPr>
                  </w:pPr>
                  <w:r>
                    <w:rPr>
                      <w:rFonts w:hint="eastAsia"/>
                      <w:szCs w:val="21"/>
                    </w:rPr>
                    <w:t>15</w:t>
                  </w:r>
                </w:p>
              </w:tc>
              <w:tc>
                <w:tcPr>
                  <w:tcW w:w="813" w:type="dxa"/>
                  <w:vAlign w:val="center"/>
                </w:tcPr>
                <w:p>
                  <w:pPr>
                    <w:jc w:val="center"/>
                    <w:rPr>
                      <w:szCs w:val="21"/>
                    </w:rPr>
                  </w:pPr>
                  <w:r>
                    <w:rPr>
                      <w:rFonts w:hint="eastAsia"/>
                      <w:szCs w:val="21"/>
                    </w:rPr>
                    <w:t>+7</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48</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八切机</w:t>
                  </w:r>
                </w:p>
              </w:tc>
              <w:tc>
                <w:tcPr>
                  <w:tcW w:w="692" w:type="dxa"/>
                  <w:vAlign w:val="center"/>
                </w:tcPr>
                <w:p>
                  <w:pPr>
                    <w:jc w:val="center"/>
                    <w:rPr>
                      <w:szCs w:val="21"/>
                    </w:rPr>
                  </w:pPr>
                  <w:r>
                    <w:rPr>
                      <w:rFonts w:hint="eastAsia"/>
                      <w:szCs w:val="21"/>
                    </w:rPr>
                    <w:t>8</w:t>
                  </w:r>
                </w:p>
              </w:tc>
              <w:tc>
                <w:tcPr>
                  <w:tcW w:w="750" w:type="dxa"/>
                  <w:vAlign w:val="center"/>
                </w:tcPr>
                <w:p>
                  <w:pPr>
                    <w:jc w:val="center"/>
                    <w:rPr>
                      <w:szCs w:val="21"/>
                    </w:rPr>
                  </w:pPr>
                  <w:r>
                    <w:rPr>
                      <w:rFonts w:hint="eastAsia"/>
                      <w:szCs w:val="21"/>
                    </w:rPr>
                    <w:t>13</w:t>
                  </w:r>
                </w:p>
              </w:tc>
              <w:tc>
                <w:tcPr>
                  <w:tcW w:w="813" w:type="dxa"/>
                  <w:vAlign w:val="center"/>
                </w:tcPr>
                <w:p>
                  <w:pPr>
                    <w:jc w:val="center"/>
                    <w:rPr>
                      <w:szCs w:val="21"/>
                    </w:rPr>
                  </w:pPr>
                  <w:r>
                    <w:rPr>
                      <w:rFonts w:hint="eastAsia"/>
                      <w:szCs w:val="21"/>
                    </w:rPr>
                    <w:t>+5</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49</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包装机</w:t>
                  </w:r>
                </w:p>
              </w:tc>
              <w:tc>
                <w:tcPr>
                  <w:tcW w:w="692" w:type="dxa"/>
                  <w:vAlign w:val="center"/>
                </w:tcPr>
                <w:p>
                  <w:pPr>
                    <w:jc w:val="center"/>
                    <w:rPr>
                      <w:szCs w:val="21"/>
                    </w:rPr>
                  </w:pPr>
                  <w:r>
                    <w:rPr>
                      <w:rFonts w:hint="eastAsia"/>
                      <w:szCs w:val="21"/>
                    </w:rPr>
                    <w:t>8</w:t>
                  </w:r>
                </w:p>
              </w:tc>
              <w:tc>
                <w:tcPr>
                  <w:tcW w:w="750" w:type="dxa"/>
                  <w:vAlign w:val="center"/>
                </w:tcPr>
                <w:p>
                  <w:pPr>
                    <w:jc w:val="center"/>
                    <w:rPr>
                      <w:szCs w:val="21"/>
                    </w:rPr>
                  </w:pPr>
                  <w:r>
                    <w:rPr>
                      <w:rFonts w:hint="eastAsia"/>
                      <w:szCs w:val="21"/>
                    </w:rPr>
                    <w:t>13</w:t>
                  </w:r>
                </w:p>
              </w:tc>
              <w:tc>
                <w:tcPr>
                  <w:tcW w:w="813" w:type="dxa"/>
                  <w:vAlign w:val="center"/>
                </w:tcPr>
                <w:p>
                  <w:pPr>
                    <w:jc w:val="center"/>
                    <w:rPr>
                      <w:szCs w:val="21"/>
                    </w:rPr>
                  </w:pPr>
                  <w:r>
                    <w:rPr>
                      <w:rFonts w:hint="eastAsia"/>
                      <w:szCs w:val="21"/>
                    </w:rPr>
                    <w:t>+5</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50</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激光打码机</w:t>
                  </w:r>
                </w:p>
              </w:tc>
              <w:tc>
                <w:tcPr>
                  <w:tcW w:w="692" w:type="dxa"/>
                  <w:vAlign w:val="center"/>
                </w:tcPr>
                <w:p>
                  <w:pPr>
                    <w:jc w:val="center"/>
                    <w:rPr>
                      <w:szCs w:val="21"/>
                    </w:rPr>
                  </w:pPr>
                  <w:r>
                    <w:rPr>
                      <w:rFonts w:hint="eastAsia"/>
                      <w:szCs w:val="21"/>
                    </w:rPr>
                    <w:t>8</w:t>
                  </w:r>
                </w:p>
              </w:tc>
              <w:tc>
                <w:tcPr>
                  <w:tcW w:w="750" w:type="dxa"/>
                  <w:vAlign w:val="center"/>
                </w:tcPr>
                <w:p>
                  <w:pPr>
                    <w:jc w:val="center"/>
                    <w:rPr>
                      <w:szCs w:val="21"/>
                    </w:rPr>
                  </w:pPr>
                  <w:r>
                    <w:rPr>
                      <w:rFonts w:hint="eastAsia"/>
                      <w:szCs w:val="21"/>
                    </w:rPr>
                    <w:t>15</w:t>
                  </w:r>
                </w:p>
              </w:tc>
              <w:tc>
                <w:tcPr>
                  <w:tcW w:w="813" w:type="dxa"/>
                  <w:vAlign w:val="center"/>
                </w:tcPr>
                <w:p>
                  <w:pPr>
                    <w:jc w:val="center"/>
                    <w:rPr>
                      <w:szCs w:val="21"/>
                    </w:rPr>
                  </w:pPr>
                  <w:r>
                    <w:rPr>
                      <w:rFonts w:hint="eastAsia"/>
                      <w:szCs w:val="21"/>
                    </w:rPr>
                    <w:t>+7</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51</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投胶盒机</w:t>
                  </w:r>
                </w:p>
              </w:tc>
              <w:tc>
                <w:tcPr>
                  <w:tcW w:w="692" w:type="dxa"/>
                  <w:vAlign w:val="center"/>
                </w:tcPr>
                <w:p>
                  <w:pPr>
                    <w:jc w:val="center"/>
                    <w:rPr>
                      <w:szCs w:val="21"/>
                    </w:rPr>
                  </w:pPr>
                  <w:r>
                    <w:rPr>
                      <w:rFonts w:hint="eastAsia"/>
                      <w:szCs w:val="21"/>
                    </w:rPr>
                    <w:t>8</w:t>
                  </w:r>
                </w:p>
              </w:tc>
              <w:tc>
                <w:tcPr>
                  <w:tcW w:w="750" w:type="dxa"/>
                  <w:vAlign w:val="center"/>
                </w:tcPr>
                <w:p>
                  <w:pPr>
                    <w:jc w:val="center"/>
                    <w:rPr>
                      <w:szCs w:val="21"/>
                    </w:rPr>
                  </w:pPr>
                  <w:r>
                    <w:rPr>
                      <w:rFonts w:hint="eastAsia"/>
                      <w:szCs w:val="21"/>
                    </w:rPr>
                    <w:t>14</w:t>
                  </w:r>
                </w:p>
              </w:tc>
              <w:tc>
                <w:tcPr>
                  <w:tcW w:w="813" w:type="dxa"/>
                  <w:vAlign w:val="center"/>
                </w:tcPr>
                <w:p>
                  <w:pPr>
                    <w:jc w:val="center"/>
                    <w:rPr>
                      <w:szCs w:val="21"/>
                    </w:rPr>
                  </w:pPr>
                  <w:r>
                    <w:rPr>
                      <w:rFonts w:hint="eastAsia"/>
                      <w:szCs w:val="21"/>
                    </w:rPr>
                    <w:t>+6</w:t>
                  </w:r>
                </w:p>
              </w:tc>
              <w:tc>
                <w:tcPr>
                  <w:tcW w:w="1289"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52</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投包机（干燥剂）</w:t>
                  </w:r>
                </w:p>
              </w:tc>
              <w:tc>
                <w:tcPr>
                  <w:tcW w:w="692" w:type="dxa"/>
                  <w:vAlign w:val="center"/>
                </w:tcPr>
                <w:p>
                  <w:pPr>
                    <w:jc w:val="center"/>
                    <w:rPr>
                      <w:szCs w:val="21"/>
                    </w:rPr>
                  </w:pPr>
                  <w:r>
                    <w:rPr>
                      <w:rFonts w:hint="eastAsia"/>
                      <w:szCs w:val="21"/>
                    </w:rPr>
                    <w:t>8</w:t>
                  </w:r>
                </w:p>
              </w:tc>
              <w:tc>
                <w:tcPr>
                  <w:tcW w:w="750" w:type="dxa"/>
                  <w:vAlign w:val="center"/>
                </w:tcPr>
                <w:p>
                  <w:pPr>
                    <w:jc w:val="center"/>
                    <w:rPr>
                      <w:szCs w:val="21"/>
                    </w:rPr>
                  </w:pPr>
                  <w:r>
                    <w:rPr>
                      <w:rFonts w:hint="eastAsia"/>
                      <w:szCs w:val="21"/>
                    </w:rPr>
                    <w:t>14</w:t>
                  </w:r>
                </w:p>
              </w:tc>
              <w:tc>
                <w:tcPr>
                  <w:tcW w:w="813" w:type="dxa"/>
                  <w:vAlign w:val="center"/>
                </w:tcPr>
                <w:p>
                  <w:pPr>
                    <w:jc w:val="center"/>
                    <w:rPr>
                      <w:szCs w:val="21"/>
                    </w:rPr>
                  </w:pPr>
                  <w:r>
                    <w:rPr>
                      <w:rFonts w:hint="eastAsia"/>
                      <w:szCs w:val="21"/>
                    </w:rPr>
                    <w:t>+6</w:t>
                  </w:r>
                </w:p>
              </w:tc>
              <w:tc>
                <w:tcPr>
                  <w:tcW w:w="1289" w:type="dxa"/>
                  <w:vAlign w:val="center"/>
                </w:tcPr>
                <w:p>
                  <w:pPr>
                    <w:jc w:val="center"/>
                    <w:rPr>
                      <w:b/>
                      <w:bCs/>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53</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封箱机</w:t>
                  </w:r>
                </w:p>
              </w:tc>
              <w:tc>
                <w:tcPr>
                  <w:tcW w:w="692" w:type="dxa"/>
                  <w:vAlign w:val="center"/>
                </w:tcPr>
                <w:p>
                  <w:pPr>
                    <w:jc w:val="center"/>
                    <w:rPr>
                      <w:szCs w:val="21"/>
                    </w:rPr>
                  </w:pPr>
                  <w:r>
                    <w:rPr>
                      <w:rFonts w:hint="eastAsia"/>
                      <w:szCs w:val="21"/>
                    </w:rPr>
                    <w:t>8</w:t>
                  </w:r>
                </w:p>
              </w:tc>
              <w:tc>
                <w:tcPr>
                  <w:tcW w:w="750" w:type="dxa"/>
                  <w:vAlign w:val="center"/>
                </w:tcPr>
                <w:p>
                  <w:pPr>
                    <w:jc w:val="center"/>
                    <w:rPr>
                      <w:szCs w:val="21"/>
                    </w:rPr>
                  </w:pPr>
                  <w:r>
                    <w:rPr>
                      <w:rFonts w:hint="eastAsia"/>
                      <w:szCs w:val="21"/>
                    </w:rPr>
                    <w:t>14</w:t>
                  </w:r>
                </w:p>
              </w:tc>
              <w:tc>
                <w:tcPr>
                  <w:tcW w:w="813" w:type="dxa"/>
                  <w:vAlign w:val="center"/>
                </w:tcPr>
                <w:p>
                  <w:pPr>
                    <w:jc w:val="center"/>
                    <w:rPr>
                      <w:szCs w:val="21"/>
                    </w:rPr>
                  </w:pPr>
                  <w:r>
                    <w:rPr>
                      <w:rFonts w:hint="eastAsia"/>
                      <w:szCs w:val="21"/>
                    </w:rPr>
                    <w:t>+6</w:t>
                  </w:r>
                </w:p>
              </w:tc>
              <w:tc>
                <w:tcPr>
                  <w:tcW w:w="1289" w:type="dxa"/>
                  <w:vAlign w:val="center"/>
                </w:tcPr>
                <w:p>
                  <w:pPr>
                    <w:jc w:val="center"/>
                    <w:rPr>
                      <w:b/>
                      <w:bCs/>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rPr>
                  </w:pPr>
                  <w:r>
                    <w:rPr>
                      <w:rFonts w:hint="eastAsia"/>
                      <w:kern w:val="0"/>
                      <w:szCs w:val="21"/>
                    </w:rPr>
                    <w:t>54</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szCs w:val="21"/>
                    </w:rPr>
                  </w:pPr>
                  <w:r>
                    <w:rPr>
                      <w:rFonts w:hint="eastAsia"/>
                      <w:szCs w:val="21"/>
                    </w:rPr>
                    <w:t>金检机</w:t>
                  </w:r>
                </w:p>
              </w:tc>
              <w:tc>
                <w:tcPr>
                  <w:tcW w:w="692" w:type="dxa"/>
                  <w:vAlign w:val="center"/>
                </w:tcPr>
                <w:p>
                  <w:pPr>
                    <w:jc w:val="center"/>
                    <w:rPr>
                      <w:szCs w:val="21"/>
                    </w:rPr>
                  </w:pPr>
                  <w:r>
                    <w:rPr>
                      <w:rFonts w:hint="eastAsia"/>
                      <w:szCs w:val="21"/>
                    </w:rPr>
                    <w:t>8</w:t>
                  </w:r>
                </w:p>
              </w:tc>
              <w:tc>
                <w:tcPr>
                  <w:tcW w:w="750" w:type="dxa"/>
                  <w:vAlign w:val="center"/>
                </w:tcPr>
                <w:p>
                  <w:pPr>
                    <w:jc w:val="center"/>
                    <w:rPr>
                      <w:szCs w:val="21"/>
                    </w:rPr>
                  </w:pPr>
                  <w:r>
                    <w:rPr>
                      <w:rFonts w:hint="eastAsia"/>
                      <w:szCs w:val="21"/>
                    </w:rPr>
                    <w:t>14</w:t>
                  </w:r>
                </w:p>
              </w:tc>
              <w:tc>
                <w:tcPr>
                  <w:tcW w:w="813" w:type="dxa"/>
                  <w:vAlign w:val="center"/>
                </w:tcPr>
                <w:p>
                  <w:pPr>
                    <w:jc w:val="center"/>
                    <w:rPr>
                      <w:szCs w:val="21"/>
                    </w:rPr>
                  </w:pPr>
                  <w:r>
                    <w:rPr>
                      <w:rFonts w:hint="eastAsia"/>
                      <w:szCs w:val="21"/>
                    </w:rPr>
                    <w:t>+6</w:t>
                  </w:r>
                </w:p>
              </w:tc>
              <w:tc>
                <w:tcPr>
                  <w:tcW w:w="1289" w:type="dxa"/>
                  <w:vAlign w:val="center"/>
                </w:tcPr>
                <w:p>
                  <w:pPr>
                    <w:jc w:val="center"/>
                    <w:rPr>
                      <w:b/>
                      <w:bCs/>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938" w:type="dxa"/>
                  <w:gridSpan w:val="8"/>
                  <w:vAlign w:val="center"/>
                </w:tcPr>
                <w:p>
                  <w:pPr>
                    <w:jc w:val="center"/>
                    <w:rPr>
                      <w:szCs w:val="21"/>
                    </w:rPr>
                  </w:pPr>
                  <w:r>
                    <w:rPr>
                      <w:rFonts w:hint="eastAsia"/>
                      <w:kern w:val="0"/>
                      <w:szCs w:val="21"/>
                    </w:rPr>
                    <w:t>环保设备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highlight w:val="none"/>
                    </w:rPr>
                  </w:pPr>
                  <w:r>
                    <w:rPr>
                      <w:rFonts w:hint="eastAsia"/>
                      <w:kern w:val="0"/>
                      <w:szCs w:val="21"/>
                      <w:highlight w:val="none"/>
                    </w:rPr>
                    <w:t>1</w:t>
                  </w:r>
                </w:p>
              </w:tc>
              <w:tc>
                <w:tcPr>
                  <w:tcW w:w="850" w:type="dxa"/>
                  <w:vMerge w:val="restart"/>
                  <w:vAlign w:val="center"/>
                </w:tcPr>
                <w:p>
                  <w:pPr>
                    <w:jc w:val="center"/>
                    <w:rPr>
                      <w:szCs w:val="21"/>
                    </w:rPr>
                  </w:pPr>
                  <w:r>
                    <w:rPr>
                      <w:rFonts w:hint="eastAsia"/>
                      <w:szCs w:val="21"/>
                    </w:rPr>
                    <w:t>废气、废水治理设施</w:t>
                  </w:r>
                </w:p>
              </w:tc>
              <w:tc>
                <w:tcPr>
                  <w:tcW w:w="798" w:type="dxa"/>
                  <w:vMerge w:val="restart"/>
                  <w:vAlign w:val="center"/>
                </w:tcPr>
                <w:p>
                  <w:pPr>
                    <w:jc w:val="center"/>
                    <w:rPr>
                      <w:szCs w:val="21"/>
                    </w:rPr>
                  </w:pPr>
                  <w:r>
                    <w:rPr>
                      <w:rFonts w:hint="eastAsia"/>
                      <w:szCs w:val="21"/>
                    </w:rPr>
                    <w:t>废气处理</w:t>
                  </w:r>
                </w:p>
              </w:tc>
              <w:tc>
                <w:tcPr>
                  <w:tcW w:w="2050" w:type="dxa"/>
                  <w:vAlign w:val="center"/>
                </w:tcPr>
                <w:p>
                  <w:pPr>
                    <w:jc w:val="center"/>
                    <w:rPr>
                      <w:szCs w:val="21"/>
                    </w:rPr>
                  </w:pPr>
                  <w:r>
                    <w:rPr>
                      <w:rFonts w:hint="eastAsia" w:hAnsi="宋体"/>
                      <w:szCs w:val="21"/>
                    </w:rPr>
                    <w:t>布袋除尘器</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rFonts w:hint="eastAsia" w:eastAsia="宋体"/>
                      <w:szCs w:val="21"/>
                      <w:lang w:eastAsia="zh-CN"/>
                    </w:rPr>
                  </w:pPr>
                  <w:r>
                    <w:rPr>
                      <w:rFonts w:hint="eastAsia"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kern w:val="0"/>
                      <w:szCs w:val="21"/>
                      <w:highlight w:val="none"/>
                    </w:rPr>
                  </w:pPr>
                  <w:r>
                    <w:rPr>
                      <w:rFonts w:hint="eastAsia"/>
                      <w:kern w:val="0"/>
                      <w:szCs w:val="21"/>
                      <w:highlight w:val="none"/>
                    </w:rPr>
                    <w:t>2</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rFonts w:hAnsi="宋体"/>
                      <w:szCs w:val="21"/>
                    </w:rPr>
                  </w:pPr>
                  <w:r>
                    <w:rPr>
                      <w:rFonts w:hint="eastAsia" w:hAnsi="宋体"/>
                      <w:szCs w:val="21"/>
                    </w:rPr>
                    <w:t>二级活性炭吸附装置</w:t>
                  </w:r>
                </w:p>
              </w:tc>
              <w:tc>
                <w:tcPr>
                  <w:tcW w:w="692" w:type="dxa"/>
                  <w:vAlign w:val="center"/>
                </w:tcPr>
                <w:p>
                  <w:pPr>
                    <w:jc w:val="center"/>
                    <w:rPr>
                      <w:szCs w:val="21"/>
                    </w:rPr>
                  </w:pPr>
                  <w:r>
                    <w:rPr>
                      <w:rFonts w:hint="eastAsia"/>
                      <w:szCs w:val="21"/>
                    </w:rPr>
                    <w:t>0</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+1</w:t>
                  </w:r>
                </w:p>
              </w:tc>
              <w:tc>
                <w:tcPr>
                  <w:tcW w:w="1289" w:type="dxa"/>
                  <w:vAlign w:val="center"/>
                </w:tcPr>
                <w:p>
                  <w:pPr>
                    <w:jc w:val="center"/>
                    <w:rPr>
                      <w:rFonts w:hAnsi="宋体"/>
                      <w:szCs w:val="21"/>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rFonts w:hint="eastAsia" w:eastAsia="宋体"/>
                      <w:kern w:val="0"/>
                      <w:szCs w:val="21"/>
                      <w:highlight w:val="none"/>
                      <w:lang w:val="en-US" w:eastAsia="zh-CN"/>
                    </w:rPr>
                  </w:pPr>
                  <w:r>
                    <w:rPr>
                      <w:rFonts w:hint="eastAsia"/>
                      <w:kern w:val="0"/>
                      <w:szCs w:val="21"/>
                      <w:highlight w:val="none"/>
                      <w:lang w:val="en-US" w:eastAsia="zh-CN"/>
                    </w:rPr>
                    <w:t>3</w:t>
                  </w:r>
                </w:p>
              </w:tc>
              <w:tc>
                <w:tcPr>
                  <w:tcW w:w="850" w:type="dxa"/>
                  <w:vMerge w:val="continue"/>
                  <w:vAlign w:val="center"/>
                </w:tcPr>
                <w:p>
                  <w:pPr>
                    <w:jc w:val="center"/>
                    <w:rPr>
                      <w:szCs w:val="21"/>
                    </w:rPr>
                  </w:pPr>
                </w:p>
              </w:tc>
              <w:tc>
                <w:tcPr>
                  <w:tcW w:w="798" w:type="dxa"/>
                  <w:vMerge w:val="continue"/>
                  <w:vAlign w:val="center"/>
                </w:tcPr>
                <w:p>
                  <w:pPr>
                    <w:jc w:val="center"/>
                    <w:rPr>
                      <w:szCs w:val="21"/>
                    </w:rPr>
                  </w:pPr>
                </w:p>
              </w:tc>
              <w:tc>
                <w:tcPr>
                  <w:tcW w:w="2050" w:type="dxa"/>
                  <w:vAlign w:val="center"/>
                </w:tcPr>
                <w:p>
                  <w:pPr>
                    <w:jc w:val="center"/>
                    <w:rPr>
                      <w:rFonts w:hAnsi="宋体"/>
                      <w:szCs w:val="21"/>
                    </w:rPr>
                  </w:pPr>
                  <w:r>
                    <w:rPr>
                      <w:rFonts w:hint="eastAsia" w:hAnsi="宋体"/>
                      <w:szCs w:val="21"/>
                    </w:rPr>
                    <w:t>油烟净化器</w:t>
                  </w:r>
                </w:p>
              </w:tc>
              <w:tc>
                <w:tcPr>
                  <w:tcW w:w="692" w:type="dxa"/>
                  <w:vAlign w:val="center"/>
                </w:tcPr>
                <w:p>
                  <w:pPr>
                    <w:jc w:val="center"/>
                    <w:rPr>
                      <w:szCs w:val="21"/>
                    </w:rPr>
                  </w:pPr>
                  <w:r>
                    <w:rPr>
                      <w:rFonts w:hint="eastAsia"/>
                      <w:szCs w:val="21"/>
                    </w:rPr>
                    <w:t>1</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0</w:t>
                  </w:r>
                </w:p>
              </w:tc>
              <w:tc>
                <w:tcPr>
                  <w:tcW w:w="1289" w:type="dxa"/>
                  <w:vAlign w:val="center"/>
                </w:tcPr>
                <w:p>
                  <w:pPr>
                    <w:tabs>
                      <w:tab w:val="left" w:pos="474"/>
                    </w:tabs>
                    <w:jc w:val="center"/>
                    <w:rPr>
                      <w:rFonts w:hint="eastAsia" w:eastAsia="宋体"/>
                      <w:szCs w:val="21"/>
                      <w:lang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96" w:type="dxa"/>
                  <w:vAlign w:val="center"/>
                </w:tcPr>
                <w:p>
                  <w:pPr>
                    <w:widowControl/>
                    <w:jc w:val="center"/>
                    <w:textAlignment w:val="center"/>
                    <w:rPr>
                      <w:rFonts w:hint="eastAsia" w:eastAsia="宋体"/>
                      <w:kern w:val="0"/>
                      <w:szCs w:val="21"/>
                      <w:highlight w:val="none"/>
                      <w:lang w:eastAsia="zh-CN"/>
                    </w:rPr>
                  </w:pPr>
                  <w:r>
                    <w:rPr>
                      <w:rFonts w:hint="eastAsia"/>
                      <w:kern w:val="0"/>
                      <w:szCs w:val="21"/>
                      <w:highlight w:val="none"/>
                      <w:lang w:val="en-US" w:eastAsia="zh-CN"/>
                    </w:rPr>
                    <w:t>4</w:t>
                  </w:r>
                </w:p>
              </w:tc>
              <w:tc>
                <w:tcPr>
                  <w:tcW w:w="850" w:type="dxa"/>
                  <w:vMerge w:val="continue"/>
                  <w:vAlign w:val="center"/>
                </w:tcPr>
                <w:p>
                  <w:pPr>
                    <w:jc w:val="center"/>
                    <w:rPr>
                      <w:szCs w:val="21"/>
                    </w:rPr>
                  </w:pPr>
                </w:p>
              </w:tc>
              <w:tc>
                <w:tcPr>
                  <w:tcW w:w="798" w:type="dxa"/>
                  <w:vAlign w:val="center"/>
                </w:tcPr>
                <w:p>
                  <w:pPr>
                    <w:jc w:val="center"/>
                    <w:rPr>
                      <w:szCs w:val="21"/>
                    </w:rPr>
                  </w:pPr>
                  <w:r>
                    <w:rPr>
                      <w:rFonts w:hint="eastAsia"/>
                      <w:szCs w:val="21"/>
                    </w:rPr>
                    <w:t>废水处理</w:t>
                  </w:r>
                </w:p>
              </w:tc>
              <w:tc>
                <w:tcPr>
                  <w:tcW w:w="2050" w:type="dxa"/>
                  <w:vAlign w:val="center"/>
                </w:tcPr>
                <w:p>
                  <w:pPr>
                    <w:jc w:val="center"/>
                    <w:rPr>
                      <w:szCs w:val="21"/>
                    </w:rPr>
                  </w:pPr>
                  <w:r>
                    <w:rPr>
                      <w:rFonts w:hint="eastAsia"/>
                      <w:szCs w:val="21"/>
                    </w:rPr>
                    <w:t>污水处理设施</w:t>
                  </w:r>
                </w:p>
              </w:tc>
              <w:tc>
                <w:tcPr>
                  <w:tcW w:w="692" w:type="dxa"/>
                  <w:vAlign w:val="center"/>
                </w:tcPr>
                <w:p>
                  <w:pPr>
                    <w:jc w:val="center"/>
                    <w:rPr>
                      <w:szCs w:val="21"/>
                    </w:rPr>
                  </w:pPr>
                  <w:r>
                    <w:rPr>
                      <w:rFonts w:hint="eastAsia"/>
                      <w:szCs w:val="21"/>
                    </w:rPr>
                    <w:t>1</w:t>
                  </w:r>
                </w:p>
              </w:tc>
              <w:tc>
                <w:tcPr>
                  <w:tcW w:w="750" w:type="dxa"/>
                  <w:vAlign w:val="center"/>
                </w:tcPr>
                <w:p>
                  <w:pPr>
                    <w:jc w:val="center"/>
                    <w:rPr>
                      <w:szCs w:val="21"/>
                    </w:rPr>
                  </w:pPr>
                  <w:r>
                    <w:rPr>
                      <w:rFonts w:hint="eastAsia"/>
                      <w:szCs w:val="21"/>
                    </w:rPr>
                    <w:t>1</w:t>
                  </w:r>
                </w:p>
              </w:tc>
              <w:tc>
                <w:tcPr>
                  <w:tcW w:w="813" w:type="dxa"/>
                  <w:vAlign w:val="center"/>
                </w:tcPr>
                <w:p>
                  <w:pPr>
                    <w:jc w:val="center"/>
                    <w:rPr>
                      <w:szCs w:val="21"/>
                    </w:rPr>
                  </w:pPr>
                  <w:r>
                    <w:rPr>
                      <w:rFonts w:hint="eastAsia"/>
                      <w:szCs w:val="21"/>
                    </w:rPr>
                    <w:t>0</w:t>
                  </w:r>
                </w:p>
              </w:tc>
              <w:tc>
                <w:tcPr>
                  <w:tcW w:w="1289" w:type="dxa"/>
                  <w:vAlign w:val="center"/>
                </w:tcPr>
                <w:p>
                  <w:pPr>
                    <w:jc w:val="center"/>
                    <w:rPr>
                      <w:rFonts w:hint="eastAsia" w:eastAsia="宋体"/>
                      <w:szCs w:val="21"/>
                      <w:lang w:eastAsia="zh-CN"/>
                    </w:rPr>
                  </w:pPr>
                  <w:r>
                    <w:rPr>
                      <w:rFonts w:hint="eastAsia"/>
                      <w:szCs w:val="21"/>
                      <w:lang w:val="en-US" w:eastAsia="zh-CN"/>
                    </w:rPr>
                    <w:t>/</w:t>
                  </w:r>
                </w:p>
              </w:tc>
            </w:tr>
          </w:tbl>
          <w:p>
            <w:pPr>
              <w:snapToGrid w:val="0"/>
              <w:spacing w:before="120" w:beforeLines="50" w:line="360" w:lineRule="auto"/>
              <w:ind w:firstLine="482" w:firstLineChars="200"/>
              <w:rPr>
                <w:b/>
                <w:bCs/>
                <w:sz w:val="24"/>
              </w:rPr>
            </w:pPr>
            <w:r>
              <w:rPr>
                <w:b/>
                <w:bCs/>
                <w:sz w:val="24"/>
              </w:rPr>
              <w:t>6、项目主要原辅料及能源消耗</w:t>
            </w:r>
          </w:p>
          <w:p>
            <w:pPr>
              <w:snapToGrid w:val="0"/>
              <w:spacing w:line="360" w:lineRule="auto"/>
              <w:ind w:firstLine="482" w:firstLineChars="200"/>
              <w:jc w:val="center"/>
            </w:pPr>
            <w:r>
              <w:rPr>
                <w:b/>
                <w:bCs/>
                <w:sz w:val="24"/>
              </w:rPr>
              <w:t>表</w:t>
            </w:r>
            <w:r>
              <w:rPr>
                <w:rFonts w:hint="eastAsia"/>
                <w:b/>
                <w:bCs/>
                <w:sz w:val="24"/>
              </w:rPr>
              <w:t xml:space="preserve">2-5 </w:t>
            </w:r>
            <w:r>
              <w:rPr>
                <w:b/>
                <w:bCs/>
                <w:sz w:val="24"/>
              </w:rPr>
              <w:t xml:space="preserve"> 项目主要原辅料及能源消耗一览表</w:t>
            </w:r>
          </w:p>
          <w:tbl>
            <w:tblPr>
              <w:tblStyle w:val="2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3"/>
              <w:gridCol w:w="1091"/>
              <w:gridCol w:w="522"/>
              <w:gridCol w:w="1463"/>
              <w:gridCol w:w="833"/>
              <w:gridCol w:w="937"/>
              <w:gridCol w:w="98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453" w:type="dxa"/>
                  <w:vMerge w:val="restart"/>
                  <w:tcBorders>
                    <w:top w:val="single" w:color="auto" w:sz="4" w:space="0"/>
                    <w:left w:val="single" w:color="auto" w:sz="4" w:space="0"/>
                    <w:right w:val="single" w:color="auto" w:sz="4" w:space="0"/>
                  </w:tcBorders>
                  <w:vAlign w:val="center"/>
                </w:tcPr>
                <w:p>
                  <w:pPr>
                    <w:jc w:val="center"/>
                    <w:rPr>
                      <w:b/>
                      <w:szCs w:val="21"/>
                    </w:rPr>
                  </w:pPr>
                  <w:r>
                    <w:rPr>
                      <w:rFonts w:hAnsi="宋体"/>
                      <w:b/>
                      <w:szCs w:val="21"/>
                    </w:rPr>
                    <w:t>序号</w:t>
                  </w:r>
                </w:p>
              </w:tc>
              <w:tc>
                <w:tcPr>
                  <w:tcW w:w="1091" w:type="dxa"/>
                  <w:vMerge w:val="restart"/>
                  <w:tcBorders>
                    <w:top w:val="single" w:color="auto" w:sz="4" w:space="0"/>
                    <w:left w:val="single" w:color="auto" w:sz="4" w:space="0"/>
                    <w:right w:val="single" w:color="auto" w:sz="4" w:space="0"/>
                  </w:tcBorders>
                  <w:vAlign w:val="center"/>
                </w:tcPr>
                <w:p>
                  <w:pPr>
                    <w:jc w:val="center"/>
                    <w:rPr>
                      <w:b/>
                      <w:szCs w:val="21"/>
                    </w:rPr>
                  </w:pPr>
                  <w:r>
                    <w:rPr>
                      <w:rFonts w:hAnsi="宋体"/>
                      <w:b/>
                      <w:szCs w:val="21"/>
                    </w:rPr>
                    <w:t>类别</w:t>
                  </w:r>
                </w:p>
              </w:tc>
              <w:tc>
                <w:tcPr>
                  <w:tcW w:w="1985" w:type="dxa"/>
                  <w:gridSpan w:val="2"/>
                  <w:vMerge w:val="restart"/>
                  <w:tcBorders>
                    <w:top w:val="single" w:color="auto" w:sz="4" w:space="0"/>
                    <w:left w:val="single" w:color="auto" w:sz="4" w:space="0"/>
                    <w:right w:val="single" w:color="auto" w:sz="4" w:space="0"/>
                  </w:tcBorders>
                  <w:vAlign w:val="center"/>
                </w:tcPr>
                <w:p>
                  <w:pPr>
                    <w:jc w:val="center"/>
                    <w:rPr>
                      <w:b/>
                      <w:szCs w:val="21"/>
                    </w:rPr>
                  </w:pPr>
                  <w:r>
                    <w:rPr>
                      <w:rFonts w:hAnsi="宋体"/>
                      <w:b/>
                      <w:szCs w:val="21"/>
                    </w:rPr>
                    <w:t>名称</w:t>
                  </w:r>
                </w:p>
              </w:tc>
              <w:tc>
                <w:tcPr>
                  <w:tcW w:w="2752" w:type="dxa"/>
                  <w:gridSpan w:val="3"/>
                  <w:tcBorders>
                    <w:top w:val="single" w:color="auto" w:sz="4" w:space="0"/>
                    <w:left w:val="single" w:color="auto" w:sz="4" w:space="0"/>
                    <w:right w:val="single" w:color="auto" w:sz="4" w:space="0"/>
                  </w:tcBorders>
                  <w:vAlign w:val="center"/>
                </w:tcPr>
                <w:p>
                  <w:pPr>
                    <w:jc w:val="center"/>
                    <w:rPr>
                      <w:b/>
                      <w:szCs w:val="21"/>
                    </w:rPr>
                  </w:pPr>
                  <w:r>
                    <w:rPr>
                      <w:rFonts w:hAnsi="宋体"/>
                      <w:b/>
                      <w:szCs w:val="21"/>
                    </w:rPr>
                    <w:t>用量</w:t>
                  </w:r>
                  <w:r>
                    <w:rPr>
                      <w:b/>
                      <w:szCs w:val="21"/>
                    </w:rPr>
                    <w:t>/</w:t>
                  </w:r>
                  <w:r>
                    <w:rPr>
                      <w:rFonts w:hAnsi="宋体"/>
                      <w:b/>
                      <w:szCs w:val="21"/>
                    </w:rPr>
                    <w:t>年耗</w:t>
                  </w:r>
                </w:p>
              </w:tc>
              <w:tc>
                <w:tcPr>
                  <w:tcW w:w="1657" w:type="dxa"/>
                  <w:vMerge w:val="restart"/>
                  <w:tcBorders>
                    <w:top w:val="single" w:color="auto" w:sz="4" w:space="0"/>
                    <w:left w:val="single" w:color="auto" w:sz="4" w:space="0"/>
                    <w:right w:val="single" w:color="auto" w:sz="4" w:space="0"/>
                  </w:tcBorders>
                  <w:vAlign w:val="center"/>
                </w:tcPr>
                <w:p>
                  <w:pPr>
                    <w:jc w:val="center"/>
                    <w:rPr>
                      <w:b/>
                      <w:szCs w:val="21"/>
                    </w:rPr>
                  </w:pPr>
                  <w:r>
                    <w:rPr>
                      <w:rFonts w:hAnsi="宋体"/>
                      <w:b/>
                      <w:szCs w:val="21"/>
                    </w:rPr>
                    <w:t>来源</w:t>
                  </w:r>
                  <w:r>
                    <w:rPr>
                      <w:b/>
                      <w:szCs w:val="21"/>
                    </w:rPr>
                    <w:t>/</w:t>
                  </w:r>
                  <w:r>
                    <w:rPr>
                      <w:rFonts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453" w:type="dxa"/>
                  <w:vMerge w:val="continue"/>
                  <w:tcBorders>
                    <w:left w:val="single" w:color="auto" w:sz="4" w:space="0"/>
                    <w:right w:val="single" w:color="auto" w:sz="4" w:space="0"/>
                  </w:tcBorders>
                  <w:vAlign w:val="center"/>
                </w:tcPr>
                <w:p>
                  <w:pPr>
                    <w:jc w:val="center"/>
                    <w:rPr>
                      <w:rFonts w:hAnsi="宋体"/>
                      <w:b/>
                      <w:szCs w:val="21"/>
                    </w:rPr>
                  </w:pPr>
                </w:p>
              </w:tc>
              <w:tc>
                <w:tcPr>
                  <w:tcW w:w="1091" w:type="dxa"/>
                  <w:vMerge w:val="continue"/>
                  <w:tcBorders>
                    <w:left w:val="single" w:color="auto" w:sz="4" w:space="0"/>
                    <w:right w:val="single" w:color="auto" w:sz="4" w:space="0"/>
                  </w:tcBorders>
                  <w:vAlign w:val="center"/>
                </w:tcPr>
                <w:p>
                  <w:pPr>
                    <w:jc w:val="center"/>
                    <w:rPr>
                      <w:rFonts w:hAnsi="宋体"/>
                      <w:b/>
                      <w:szCs w:val="21"/>
                    </w:rPr>
                  </w:pPr>
                </w:p>
              </w:tc>
              <w:tc>
                <w:tcPr>
                  <w:tcW w:w="1985" w:type="dxa"/>
                  <w:gridSpan w:val="2"/>
                  <w:vMerge w:val="continue"/>
                  <w:tcBorders>
                    <w:left w:val="single" w:color="auto" w:sz="4" w:space="0"/>
                    <w:right w:val="single" w:color="auto" w:sz="4" w:space="0"/>
                  </w:tcBorders>
                  <w:vAlign w:val="center"/>
                </w:tcPr>
                <w:p>
                  <w:pPr>
                    <w:jc w:val="center"/>
                    <w:rPr>
                      <w:rFonts w:hAnsi="宋体"/>
                      <w:b/>
                      <w:szCs w:val="21"/>
                    </w:rPr>
                  </w:pPr>
                </w:p>
              </w:tc>
              <w:tc>
                <w:tcPr>
                  <w:tcW w:w="833" w:type="dxa"/>
                  <w:tcBorders>
                    <w:top w:val="single" w:color="auto" w:sz="4" w:space="0"/>
                    <w:left w:val="single" w:color="auto" w:sz="4" w:space="0"/>
                    <w:right w:val="single" w:color="auto" w:sz="4" w:space="0"/>
                  </w:tcBorders>
                  <w:vAlign w:val="center"/>
                </w:tcPr>
                <w:p>
                  <w:pPr>
                    <w:jc w:val="center"/>
                    <w:rPr>
                      <w:rFonts w:hAnsi="宋体"/>
                      <w:b/>
                      <w:szCs w:val="21"/>
                    </w:rPr>
                  </w:pPr>
                  <w:r>
                    <w:rPr>
                      <w:rFonts w:hint="eastAsia" w:hAnsi="宋体"/>
                      <w:b/>
                      <w:szCs w:val="21"/>
                    </w:rPr>
                    <w:t>扩建前</w:t>
                  </w:r>
                </w:p>
              </w:tc>
              <w:tc>
                <w:tcPr>
                  <w:tcW w:w="937" w:type="dxa"/>
                  <w:tcBorders>
                    <w:top w:val="single" w:color="auto" w:sz="4" w:space="0"/>
                    <w:left w:val="single" w:color="auto" w:sz="4" w:space="0"/>
                    <w:right w:val="single" w:color="auto" w:sz="4" w:space="0"/>
                  </w:tcBorders>
                  <w:vAlign w:val="center"/>
                </w:tcPr>
                <w:p>
                  <w:pPr>
                    <w:jc w:val="center"/>
                    <w:rPr>
                      <w:rFonts w:hAnsi="宋体"/>
                      <w:b/>
                      <w:szCs w:val="21"/>
                    </w:rPr>
                  </w:pPr>
                  <w:r>
                    <w:rPr>
                      <w:rFonts w:hint="eastAsia" w:hAnsi="宋体"/>
                      <w:b/>
                      <w:szCs w:val="21"/>
                    </w:rPr>
                    <w:t>扩建后</w:t>
                  </w:r>
                </w:p>
              </w:tc>
              <w:tc>
                <w:tcPr>
                  <w:tcW w:w="982" w:type="dxa"/>
                  <w:tcBorders>
                    <w:top w:val="single" w:color="auto" w:sz="4" w:space="0"/>
                    <w:left w:val="single" w:color="auto" w:sz="4" w:space="0"/>
                    <w:right w:val="single" w:color="auto" w:sz="4" w:space="0"/>
                  </w:tcBorders>
                  <w:vAlign w:val="center"/>
                </w:tcPr>
                <w:p>
                  <w:pPr>
                    <w:jc w:val="center"/>
                    <w:rPr>
                      <w:rFonts w:hAnsi="宋体"/>
                      <w:b/>
                      <w:szCs w:val="21"/>
                    </w:rPr>
                  </w:pPr>
                  <w:r>
                    <w:rPr>
                      <w:rFonts w:hint="eastAsia" w:hAnsi="宋体"/>
                      <w:b/>
                      <w:szCs w:val="21"/>
                    </w:rPr>
                    <w:t>增减量</w:t>
                  </w:r>
                </w:p>
              </w:tc>
              <w:tc>
                <w:tcPr>
                  <w:tcW w:w="1657" w:type="dxa"/>
                  <w:vMerge w:val="continue"/>
                  <w:tcBorders>
                    <w:left w:val="single" w:color="auto" w:sz="4" w:space="0"/>
                    <w:right w:val="single" w:color="auto" w:sz="4" w:space="0"/>
                  </w:tcBorders>
                  <w:vAlign w:val="center"/>
                </w:tcPr>
                <w:p>
                  <w:pPr>
                    <w:jc w:val="center"/>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szCs w:val="21"/>
                    </w:rPr>
                    <w:t>1</w:t>
                  </w:r>
                </w:p>
              </w:tc>
              <w:tc>
                <w:tcPr>
                  <w:tcW w:w="1091" w:type="dxa"/>
                  <w:vMerge w:val="restart"/>
                  <w:tcBorders>
                    <w:left w:val="single" w:color="auto" w:sz="4" w:space="0"/>
                    <w:right w:val="single" w:color="auto" w:sz="4" w:space="0"/>
                  </w:tcBorders>
                  <w:vAlign w:val="center"/>
                </w:tcPr>
                <w:p>
                  <w:pPr>
                    <w:jc w:val="center"/>
                    <w:rPr>
                      <w:szCs w:val="21"/>
                    </w:rPr>
                  </w:pPr>
                  <w:r>
                    <w:rPr>
                      <w:rFonts w:hAnsi="宋体"/>
                      <w:szCs w:val="21"/>
                    </w:rPr>
                    <w:t>原辅材</w:t>
                  </w:r>
                </w:p>
                <w:p>
                  <w:pPr>
                    <w:jc w:val="center"/>
                    <w:rPr>
                      <w:szCs w:val="21"/>
                    </w:rPr>
                  </w:pPr>
                  <w:r>
                    <w:rPr>
                      <w:rFonts w:hAnsi="宋体"/>
                      <w:szCs w:val="21"/>
                    </w:rPr>
                    <w:t>料消耗</w:t>
                  </w:r>
                </w:p>
              </w:tc>
              <w:tc>
                <w:tcPr>
                  <w:tcW w:w="522"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原味海苔</w:t>
                  </w: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紫菜</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913t</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1513t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+600t</w:t>
                  </w:r>
                </w:p>
              </w:tc>
              <w:tc>
                <w:tcPr>
                  <w:tcW w:w="1657" w:type="dxa"/>
                  <w:tcBorders>
                    <w:top w:val="single" w:color="auto" w:sz="4" w:space="0"/>
                    <w:left w:val="single" w:color="auto" w:sz="4" w:space="0"/>
                    <w:right w:val="single" w:color="auto" w:sz="4" w:space="0"/>
                  </w:tcBorders>
                  <w:vAlign w:val="center"/>
                </w:tcPr>
                <w:p>
                  <w:pPr>
                    <w:jc w:val="center"/>
                    <w:rPr>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szCs w:val="21"/>
                    </w:rPr>
                    <w:t>2</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香菇</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22t</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42t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+20t</w:t>
                  </w:r>
                </w:p>
              </w:tc>
              <w:tc>
                <w:tcPr>
                  <w:tcW w:w="1657" w:type="dxa"/>
                  <w:tcBorders>
                    <w:top w:val="single" w:color="auto" w:sz="4" w:space="0"/>
                    <w:left w:val="single" w:color="auto" w:sz="4" w:space="0"/>
                    <w:right w:val="single" w:color="auto" w:sz="4" w:space="0"/>
                  </w:tcBorders>
                  <w:vAlign w:val="center"/>
                </w:tcPr>
                <w:p>
                  <w:pPr>
                    <w:jc w:val="center"/>
                    <w:rPr>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3</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白砂糖</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43t</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83t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+40t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4</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生姜</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21t</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41t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5</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夹心海苔</w:t>
                  </w: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紫菜</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0</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800t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 xml:space="preserve">+800t                                                                                                                                                           </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6</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香菇</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0</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20t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7</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生姜</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0</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20t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8</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白砂糖</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0</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40t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+40t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9</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芝麻</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0</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700t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700t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10</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rPr>
                  </w:pPr>
                </w:p>
              </w:tc>
              <w:tc>
                <w:tcPr>
                  <w:tcW w:w="146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荞麦</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0</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500t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+500t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11</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restart"/>
                  <w:tcBorders>
                    <w:left w:val="single" w:color="auto" w:sz="4" w:space="0"/>
                    <w:right w:val="single" w:color="auto" w:sz="4" w:space="0"/>
                  </w:tcBorders>
                  <w:vAlign w:val="center"/>
                </w:tcPr>
                <w:p>
                  <w:pPr>
                    <w:jc w:val="center"/>
                    <w:rPr>
                      <w:szCs w:val="21"/>
                      <w:highlight w:val="none"/>
                    </w:rPr>
                  </w:pPr>
                  <w:r>
                    <w:rPr>
                      <w:rFonts w:hint="eastAsia"/>
                      <w:szCs w:val="21"/>
                      <w:highlight w:val="none"/>
                    </w:rPr>
                    <w:t>塑料包装制品</w:t>
                  </w:r>
                </w:p>
              </w:tc>
              <w:tc>
                <w:tcPr>
                  <w:tcW w:w="1463"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PP</w:t>
                  </w:r>
                </w:p>
              </w:tc>
              <w:tc>
                <w:tcPr>
                  <w:tcW w:w="833"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0</w:t>
                  </w:r>
                </w:p>
              </w:tc>
              <w:tc>
                <w:tcPr>
                  <w:tcW w:w="937"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1200t</w:t>
                  </w:r>
                </w:p>
              </w:tc>
              <w:tc>
                <w:tcPr>
                  <w:tcW w:w="982"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+1200t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highlight w:val="none"/>
                    </w:rPr>
                  </w:pPr>
                  <w:r>
                    <w:rPr>
                      <w:rFonts w:hAnsi="宋体"/>
                      <w:spacing w:val="-2"/>
                      <w:kern w:val="28"/>
                      <w:szCs w:val="21"/>
                      <w:highlight w:val="none"/>
                    </w:rPr>
                    <w:t>外购</w:t>
                  </w:r>
                  <w:r>
                    <w:rPr>
                      <w:rFonts w:hint="eastAsia" w:hAnsi="宋体"/>
                      <w:spacing w:val="-2"/>
                      <w:kern w:val="28"/>
                      <w:szCs w:val="21"/>
                      <w:highlight w:val="none"/>
                    </w:rPr>
                    <w:t>，25kg/袋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12</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highlight w:val="none"/>
                    </w:rPr>
                  </w:pPr>
                </w:p>
              </w:tc>
              <w:tc>
                <w:tcPr>
                  <w:tcW w:w="1463"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PE</w:t>
                  </w:r>
                </w:p>
              </w:tc>
              <w:tc>
                <w:tcPr>
                  <w:tcW w:w="833"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0</w:t>
                  </w:r>
                </w:p>
              </w:tc>
              <w:tc>
                <w:tcPr>
                  <w:tcW w:w="937"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600t</w:t>
                  </w:r>
                </w:p>
              </w:tc>
              <w:tc>
                <w:tcPr>
                  <w:tcW w:w="982"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+600t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highlight w:val="none"/>
                    </w:rPr>
                  </w:pPr>
                  <w:r>
                    <w:rPr>
                      <w:rFonts w:hAnsi="宋体"/>
                      <w:spacing w:val="-2"/>
                      <w:kern w:val="28"/>
                      <w:szCs w:val="21"/>
                      <w:highlight w:val="none"/>
                    </w:rPr>
                    <w:t>外购</w:t>
                  </w:r>
                  <w:r>
                    <w:rPr>
                      <w:rFonts w:hint="eastAsia" w:hAnsi="宋体"/>
                      <w:spacing w:val="-2"/>
                      <w:kern w:val="28"/>
                      <w:szCs w:val="21"/>
                      <w:highlight w:val="none"/>
                    </w:rPr>
                    <w:t>，25kg/袋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13</w:t>
                  </w:r>
                </w:p>
              </w:tc>
              <w:tc>
                <w:tcPr>
                  <w:tcW w:w="1091" w:type="dxa"/>
                  <w:vMerge w:val="continue"/>
                  <w:tcBorders>
                    <w:left w:val="single" w:color="auto" w:sz="4" w:space="0"/>
                    <w:right w:val="single" w:color="auto" w:sz="4" w:space="0"/>
                  </w:tcBorders>
                  <w:vAlign w:val="center"/>
                </w:tcPr>
                <w:p>
                  <w:pPr>
                    <w:jc w:val="center"/>
                    <w:rPr>
                      <w:szCs w:val="21"/>
                    </w:rPr>
                  </w:pPr>
                </w:p>
              </w:tc>
              <w:tc>
                <w:tcPr>
                  <w:tcW w:w="522" w:type="dxa"/>
                  <w:vMerge w:val="continue"/>
                  <w:tcBorders>
                    <w:left w:val="single" w:color="auto" w:sz="4" w:space="0"/>
                    <w:right w:val="single" w:color="auto" w:sz="4" w:space="0"/>
                  </w:tcBorders>
                  <w:vAlign w:val="center"/>
                </w:tcPr>
                <w:p>
                  <w:pPr>
                    <w:jc w:val="center"/>
                    <w:rPr>
                      <w:szCs w:val="21"/>
                      <w:highlight w:val="none"/>
                    </w:rPr>
                  </w:pPr>
                </w:p>
              </w:tc>
              <w:tc>
                <w:tcPr>
                  <w:tcW w:w="1463"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PPT</w:t>
                  </w:r>
                </w:p>
              </w:tc>
              <w:tc>
                <w:tcPr>
                  <w:tcW w:w="833"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0</w:t>
                  </w:r>
                </w:p>
              </w:tc>
              <w:tc>
                <w:tcPr>
                  <w:tcW w:w="937"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700t</w:t>
                  </w:r>
                </w:p>
              </w:tc>
              <w:tc>
                <w:tcPr>
                  <w:tcW w:w="982" w:type="dxa"/>
                  <w:tcBorders>
                    <w:top w:val="single" w:color="auto" w:sz="4" w:space="0"/>
                    <w:left w:val="single" w:color="auto" w:sz="4" w:space="0"/>
                    <w:right w:val="single" w:color="auto" w:sz="4" w:space="0"/>
                  </w:tcBorders>
                  <w:vAlign w:val="center"/>
                </w:tcPr>
                <w:p>
                  <w:pPr>
                    <w:jc w:val="center"/>
                    <w:rPr>
                      <w:szCs w:val="21"/>
                      <w:highlight w:val="none"/>
                    </w:rPr>
                  </w:pPr>
                  <w:r>
                    <w:rPr>
                      <w:rFonts w:hint="eastAsia"/>
                      <w:szCs w:val="21"/>
                      <w:highlight w:val="none"/>
                    </w:rPr>
                    <w:t>+700t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highlight w:val="none"/>
                    </w:rPr>
                  </w:pPr>
                  <w:r>
                    <w:rPr>
                      <w:rFonts w:hAnsi="宋体"/>
                      <w:spacing w:val="-2"/>
                      <w:kern w:val="28"/>
                      <w:szCs w:val="21"/>
                      <w:highlight w:val="none"/>
                    </w:rPr>
                    <w:t>外购</w:t>
                  </w:r>
                  <w:r>
                    <w:rPr>
                      <w:rFonts w:hint="eastAsia" w:hAnsi="宋体"/>
                      <w:spacing w:val="-2"/>
                      <w:kern w:val="28"/>
                      <w:szCs w:val="21"/>
                      <w:highlight w:val="none"/>
                    </w:rPr>
                    <w:t>，25kg/袋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14</w:t>
                  </w:r>
                </w:p>
              </w:tc>
              <w:tc>
                <w:tcPr>
                  <w:tcW w:w="1091" w:type="dxa"/>
                  <w:vMerge w:val="continue"/>
                  <w:tcBorders>
                    <w:left w:val="single" w:color="auto" w:sz="4" w:space="0"/>
                    <w:right w:val="single" w:color="auto" w:sz="4" w:space="0"/>
                  </w:tcBorders>
                  <w:vAlign w:val="center"/>
                </w:tcPr>
                <w:p>
                  <w:pPr>
                    <w:jc w:val="center"/>
                    <w:rPr>
                      <w:szCs w:val="21"/>
                    </w:rPr>
                  </w:pPr>
                </w:p>
              </w:tc>
              <w:tc>
                <w:tcPr>
                  <w:tcW w:w="1985" w:type="dxa"/>
                  <w:gridSpan w:val="2"/>
                  <w:tcBorders>
                    <w:left w:val="single" w:color="auto" w:sz="4" w:space="0"/>
                    <w:right w:val="single" w:color="auto" w:sz="4" w:space="0"/>
                  </w:tcBorders>
                  <w:vAlign w:val="center"/>
                </w:tcPr>
                <w:p>
                  <w:pPr>
                    <w:jc w:val="center"/>
                    <w:rPr>
                      <w:szCs w:val="21"/>
                    </w:rPr>
                  </w:pPr>
                  <w:r>
                    <w:rPr>
                      <w:rFonts w:hint="eastAsia"/>
                      <w:szCs w:val="21"/>
                    </w:rPr>
                    <w:t>外包装材料</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3t</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203t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+200t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int="eastAsia" w:hAnsi="宋体"/>
                      <w:spacing w:val="-2"/>
                      <w:kern w:val="28"/>
                      <w:szCs w:val="21"/>
                    </w:rPr>
                    <w:t>外购，定制成品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15</w:t>
                  </w:r>
                </w:p>
              </w:tc>
              <w:tc>
                <w:tcPr>
                  <w:tcW w:w="1091" w:type="dxa"/>
                  <w:vMerge w:val="continue"/>
                  <w:tcBorders>
                    <w:left w:val="single" w:color="auto" w:sz="4" w:space="0"/>
                    <w:right w:val="single" w:color="auto" w:sz="4" w:space="0"/>
                  </w:tcBorders>
                  <w:vAlign w:val="center"/>
                </w:tcPr>
                <w:p>
                  <w:pPr>
                    <w:jc w:val="center"/>
                    <w:rPr>
                      <w:szCs w:val="21"/>
                    </w:rPr>
                  </w:pPr>
                </w:p>
              </w:tc>
              <w:tc>
                <w:tcPr>
                  <w:tcW w:w="1985" w:type="dxa"/>
                  <w:gridSpan w:val="2"/>
                  <w:tcBorders>
                    <w:left w:val="single" w:color="auto" w:sz="4" w:space="0"/>
                    <w:right w:val="single" w:color="auto" w:sz="4" w:space="0"/>
                  </w:tcBorders>
                  <w:vAlign w:val="center"/>
                </w:tcPr>
                <w:p>
                  <w:pPr>
                    <w:jc w:val="center"/>
                    <w:rPr>
                      <w:szCs w:val="21"/>
                    </w:rPr>
                  </w:pPr>
                  <w:r>
                    <w:rPr>
                      <w:rFonts w:hint="eastAsia"/>
                      <w:szCs w:val="21"/>
                    </w:rPr>
                    <w:t>食品干燥剂</w:t>
                  </w:r>
                </w:p>
              </w:tc>
              <w:tc>
                <w:tcPr>
                  <w:tcW w:w="8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60t</w:t>
                  </w:r>
                </w:p>
              </w:tc>
              <w:tc>
                <w:tcPr>
                  <w:tcW w:w="937"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110t</w:t>
                  </w:r>
                </w:p>
              </w:tc>
              <w:tc>
                <w:tcPr>
                  <w:tcW w:w="982"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+50t</w:t>
                  </w:r>
                </w:p>
              </w:tc>
              <w:tc>
                <w:tcPr>
                  <w:tcW w:w="1657" w:type="dxa"/>
                  <w:tcBorders>
                    <w:top w:val="single" w:color="auto" w:sz="4" w:space="0"/>
                    <w:left w:val="single" w:color="auto" w:sz="4" w:space="0"/>
                    <w:right w:val="single" w:color="auto" w:sz="4" w:space="0"/>
                  </w:tcBorders>
                  <w:vAlign w:val="center"/>
                </w:tcPr>
                <w:p>
                  <w:pPr>
                    <w:jc w:val="center"/>
                    <w:rPr>
                      <w:rFonts w:hAnsi="宋体"/>
                      <w:spacing w:val="-2"/>
                      <w:kern w:val="28"/>
                      <w:szCs w:val="21"/>
                    </w:rPr>
                  </w:pPr>
                  <w:r>
                    <w:rPr>
                      <w:rFonts w:hint="eastAsia" w:hAnsi="宋体"/>
                      <w:spacing w:val="-2"/>
                      <w:kern w:val="28"/>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938" w:type="dxa"/>
                  <w:gridSpan w:val="8"/>
                  <w:tcBorders>
                    <w:top w:val="single" w:color="auto" w:sz="4" w:space="0"/>
                    <w:left w:val="single" w:color="auto" w:sz="4" w:space="0"/>
                    <w:right w:val="single" w:color="auto" w:sz="4" w:space="0"/>
                  </w:tcBorders>
                  <w:vAlign w:val="center"/>
                </w:tcPr>
                <w:p>
                  <w:pPr>
                    <w:jc w:val="center"/>
                    <w:rPr>
                      <w:b/>
                      <w:spacing w:val="-2"/>
                      <w:kern w:val="28"/>
                      <w:szCs w:val="21"/>
                    </w:rPr>
                  </w:pPr>
                  <w:r>
                    <w:rPr>
                      <w:rFonts w:hAnsi="宋体"/>
                      <w:b/>
                      <w:szCs w:val="21"/>
                    </w:rPr>
                    <w:t>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1091" w:type="dxa"/>
                  <w:vMerge w:val="restart"/>
                  <w:tcBorders>
                    <w:left w:val="single" w:color="auto" w:sz="4" w:space="0"/>
                    <w:right w:val="single" w:color="auto" w:sz="4" w:space="0"/>
                  </w:tcBorders>
                  <w:vAlign w:val="center"/>
                </w:tcPr>
                <w:p>
                  <w:pPr>
                    <w:jc w:val="center"/>
                    <w:rPr>
                      <w:szCs w:val="21"/>
                    </w:rPr>
                  </w:pPr>
                  <w:r>
                    <w:rPr>
                      <w:rFonts w:hAnsi="宋体"/>
                      <w:szCs w:val="21"/>
                    </w:rPr>
                    <w:t>能源消耗</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Ansi="宋体"/>
                      <w:szCs w:val="21"/>
                    </w:rPr>
                    <w:t>水</w:t>
                  </w:r>
                  <w:r>
                    <w:rPr>
                      <w:szCs w:val="21"/>
                    </w:rPr>
                    <w:t>/ m</w:t>
                  </w:r>
                  <w:r>
                    <w:rPr>
                      <w:szCs w:val="21"/>
                      <w:vertAlign w:val="superscript"/>
                    </w:rPr>
                    <w:t>3</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6080</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15640</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+7920</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spacing w:val="-2"/>
                      <w:kern w:val="28"/>
                      <w:szCs w:val="21"/>
                    </w:rPr>
                  </w:pPr>
                  <w:r>
                    <w:rPr>
                      <w:rFonts w:hAnsi="宋体"/>
                      <w:szCs w:val="21"/>
                    </w:rPr>
                    <w:t>接供电管网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1091" w:type="dxa"/>
                  <w:vMerge w:val="continue"/>
                  <w:tcBorders>
                    <w:left w:val="single" w:color="auto" w:sz="4" w:space="0"/>
                    <w:right w:val="single" w:color="auto" w:sz="4" w:space="0"/>
                  </w:tcBorders>
                  <w:vAlign w:val="center"/>
                </w:tcPr>
                <w:p>
                  <w:pPr>
                    <w:jc w:val="center"/>
                    <w:rPr>
                      <w:szCs w:val="21"/>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Ansi="宋体"/>
                      <w:szCs w:val="21"/>
                    </w:rPr>
                    <w:t>电</w:t>
                  </w:r>
                  <w:r>
                    <w:rPr>
                      <w:szCs w:val="21"/>
                    </w:rPr>
                    <w:t>/kWh</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125</w:t>
                  </w:r>
                  <w:r>
                    <w:rPr>
                      <w:rFonts w:hAnsi="宋体"/>
                      <w:szCs w:val="21"/>
                    </w:rPr>
                    <w:t>万</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245万</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+12</w:t>
                  </w:r>
                  <w:r>
                    <w:rPr>
                      <w:szCs w:val="21"/>
                    </w:rPr>
                    <w:t>0</w:t>
                  </w:r>
                  <w:r>
                    <w:rPr>
                      <w:rFonts w:hAnsi="宋体"/>
                      <w:szCs w:val="21"/>
                    </w:rPr>
                    <w:t>万</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Ansi="宋体"/>
                      <w:szCs w:val="21"/>
                    </w:rPr>
                    <w:t>接供水管网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1091" w:type="dxa"/>
                  <w:vMerge w:val="continue"/>
                  <w:tcBorders>
                    <w:left w:val="single" w:color="auto" w:sz="4" w:space="0"/>
                    <w:right w:val="single" w:color="auto" w:sz="4" w:space="0"/>
                  </w:tcBorders>
                  <w:vAlign w:val="center"/>
                </w:tcPr>
                <w:p>
                  <w:pPr>
                    <w:jc w:val="center"/>
                    <w:rPr>
                      <w:szCs w:val="21"/>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蒸汽</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5000t</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+5000t</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接供汽管网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w:t>
                  </w:r>
                </w:p>
              </w:tc>
              <w:tc>
                <w:tcPr>
                  <w:tcW w:w="1091" w:type="dxa"/>
                  <w:vMerge w:val="continue"/>
                  <w:tcBorders>
                    <w:left w:val="single" w:color="auto" w:sz="4" w:space="0"/>
                    <w:right w:val="single" w:color="auto" w:sz="4" w:space="0"/>
                  </w:tcBorders>
                  <w:vAlign w:val="center"/>
                </w:tcPr>
                <w:p>
                  <w:pPr>
                    <w:jc w:val="center"/>
                    <w:rPr>
                      <w:szCs w:val="21"/>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天然气m</w:t>
                  </w:r>
                  <w:r>
                    <w:rPr>
                      <w:rFonts w:hint="eastAsia" w:hAnsi="宋体"/>
                      <w:szCs w:val="21"/>
                      <w:vertAlign w:val="superscript"/>
                    </w:rPr>
                    <w:t>3</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89600</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接供气管网</w:t>
                  </w:r>
                </w:p>
              </w:tc>
            </w:tr>
          </w:tbl>
          <w:p>
            <w:pPr>
              <w:snapToGrid w:val="0"/>
              <w:spacing w:line="520" w:lineRule="exact"/>
              <w:ind w:firstLine="482" w:firstLineChars="200"/>
              <w:jc w:val="center"/>
              <w:rPr>
                <w:b/>
                <w:bCs/>
                <w:sz w:val="24"/>
              </w:rPr>
            </w:pPr>
            <w:r>
              <w:rPr>
                <w:b/>
                <w:bCs/>
                <w:sz w:val="24"/>
              </w:rPr>
              <w:t>表</w:t>
            </w:r>
            <w:r>
              <w:rPr>
                <w:rFonts w:hint="eastAsia"/>
                <w:b/>
                <w:bCs/>
                <w:sz w:val="24"/>
              </w:rPr>
              <w:t xml:space="preserve">2-6   </w:t>
            </w:r>
            <w:r>
              <w:rPr>
                <w:rFonts w:hint="eastAsia"/>
                <w:b/>
                <w:sz w:val="24"/>
              </w:rPr>
              <w:t>原辅料理化性质一览表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414" w:type="dxa"/>
                  <w:vAlign w:val="center"/>
                </w:tcPr>
                <w:p>
                  <w:pPr>
                    <w:jc w:val="center"/>
                    <w:rPr>
                      <w:b/>
                      <w:bCs/>
                      <w:color w:val="000000"/>
                      <w:kern w:val="0"/>
                      <w:szCs w:val="21"/>
                    </w:rPr>
                  </w:pPr>
                  <w:r>
                    <w:rPr>
                      <w:rFonts w:hAnsi="宋体"/>
                      <w:b/>
                      <w:bCs/>
                      <w:color w:val="000000"/>
                      <w:kern w:val="0"/>
                      <w:szCs w:val="21"/>
                    </w:rPr>
                    <w:t>原辅材料</w:t>
                  </w:r>
                </w:p>
              </w:tc>
              <w:tc>
                <w:tcPr>
                  <w:tcW w:w="6524" w:type="dxa"/>
                  <w:vAlign w:val="center"/>
                </w:tcPr>
                <w:p>
                  <w:pPr>
                    <w:jc w:val="center"/>
                    <w:rPr>
                      <w:b/>
                      <w:bCs/>
                      <w:color w:val="000000"/>
                      <w:szCs w:val="21"/>
                    </w:rPr>
                  </w:pPr>
                  <w:r>
                    <w:rPr>
                      <w:rFonts w:hAnsi="宋体"/>
                      <w:b/>
                      <w:bCs/>
                      <w:color w:val="000000"/>
                      <w:szCs w:val="21"/>
                    </w:rPr>
                    <w:t>理化性质</w:t>
                  </w:r>
                  <w:r>
                    <w:rPr>
                      <w:b/>
                      <w:bCs/>
                      <w:color w:val="000000"/>
                      <w:szCs w:val="21"/>
                    </w:rPr>
                    <w:t>/</w:t>
                  </w:r>
                  <w:r>
                    <w:rPr>
                      <w:rFonts w:hAnsi="宋体"/>
                      <w:b/>
                      <w:bCs/>
                      <w:color w:val="000000"/>
                      <w:szCs w:val="21"/>
                    </w:rPr>
                    <w:t>毒理性质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4" w:type="dxa"/>
                  <w:vAlign w:val="center"/>
                </w:tcPr>
                <w:p>
                  <w:pPr>
                    <w:jc w:val="center"/>
                    <w:rPr>
                      <w:color w:val="000000"/>
                    </w:rPr>
                  </w:pPr>
                  <w:r>
                    <w:rPr>
                      <w:rFonts w:hint="eastAsia"/>
                      <w:color w:val="000000"/>
                    </w:rPr>
                    <w:t>PP</w:t>
                  </w:r>
                </w:p>
              </w:tc>
              <w:tc>
                <w:tcPr>
                  <w:tcW w:w="6524" w:type="dxa"/>
                  <w:vAlign w:val="center"/>
                </w:tcPr>
                <w:p>
                  <w:pPr>
                    <w:widowControl/>
                    <w:jc w:val="center"/>
                    <w:rPr>
                      <w:color w:val="000000"/>
                      <w:szCs w:val="21"/>
                    </w:rPr>
                  </w:pPr>
                  <w:r>
                    <w:rPr>
                      <w:rFonts w:hint="eastAsia" w:eastAsiaTheme="majorEastAsia"/>
                      <w:szCs w:val="21"/>
                      <w:shd w:val="clear" w:color="auto" w:fill="FFFFFF"/>
                    </w:rPr>
                    <w:t>聚丙烯（Polypropylene，简称PP）是一种半结晶的热塑性塑料。具有较高的耐冲击性，机械性质强韧，抗多种有机溶剂和酸碱腐蚀。熔点是164~170℃，分解温度310℃，密度0.92g/cm</w:t>
                  </w:r>
                  <w:r>
                    <w:rPr>
                      <w:rFonts w:hint="eastAsia" w:eastAsiaTheme="majorEastAsia"/>
                      <w:szCs w:val="21"/>
                      <w:shd w:val="clear" w:color="auto" w:fill="FFFFFF"/>
                      <w:vertAlign w:val="superscript"/>
                    </w:rPr>
                    <w:t>3</w:t>
                  </w:r>
                  <w:r>
                    <w:rPr>
                      <w:rFonts w:hint="eastAsia" w:eastAsiaTheme="majorEastAsia"/>
                      <w:szCs w:val="21"/>
                      <w:shd w:val="clear" w:color="auto" w:fill="FFFFFF"/>
                    </w:rPr>
                    <w:t>，极难溶于水，颜色透明或白色，该产品不属于危险品。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4" w:type="dxa"/>
                  <w:vAlign w:val="center"/>
                </w:tcPr>
                <w:p>
                  <w:pPr>
                    <w:jc w:val="center"/>
                    <w:rPr>
                      <w:color w:val="000000"/>
                      <w:kern w:val="0"/>
                      <w:szCs w:val="21"/>
                    </w:rPr>
                  </w:pPr>
                  <w:r>
                    <w:rPr>
                      <w:rFonts w:hint="eastAsia"/>
                      <w:color w:val="000000"/>
                      <w:kern w:val="0"/>
                      <w:szCs w:val="21"/>
                    </w:rPr>
                    <w:t>PE</w:t>
                  </w:r>
                </w:p>
              </w:tc>
              <w:tc>
                <w:tcPr>
                  <w:tcW w:w="6524" w:type="dxa"/>
                  <w:vAlign w:val="center"/>
                </w:tcPr>
                <w:p>
                  <w:pPr>
                    <w:jc w:val="center"/>
                    <w:rPr>
                      <w:color w:val="000000"/>
                      <w:szCs w:val="21"/>
                    </w:rPr>
                  </w:pPr>
                  <w:r>
                    <w:rPr>
                      <w:rFonts w:hint="eastAsia" w:eastAsiaTheme="majorEastAsia"/>
                      <w:szCs w:val="21"/>
                      <w:shd w:val="clear" w:color="auto" w:fill="FFFFFF"/>
                    </w:rPr>
                    <w:t>聚乙烯（polyethylene ，简称PE）是乙烯经聚合制得的一种热塑性树脂。在工业上，也包括乙烯与少量α-烯烃的共聚物。聚乙烯无臭，无毒，手感似蜡，具有优良的耐低温性能（最低使用温度可达-100~-70°C），化学稳定性好，能耐大多数酸碱的侵蚀（不耐具有氧化性质的酸）。常温下不溶于一般溶剂，吸水性小，电绝缘性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4" w:type="dxa"/>
                  <w:vAlign w:val="center"/>
                </w:tcPr>
                <w:p>
                  <w:pPr>
                    <w:jc w:val="center"/>
                    <w:rPr>
                      <w:color w:val="000000"/>
                      <w:kern w:val="0"/>
                      <w:szCs w:val="21"/>
                    </w:rPr>
                  </w:pPr>
                  <w:r>
                    <w:rPr>
                      <w:rFonts w:hint="eastAsia"/>
                      <w:color w:val="000000"/>
                      <w:kern w:val="0"/>
                      <w:szCs w:val="21"/>
                    </w:rPr>
                    <w:t>PPT</w:t>
                  </w:r>
                </w:p>
              </w:tc>
              <w:tc>
                <w:tcPr>
                  <w:tcW w:w="6524" w:type="dxa"/>
                  <w:vAlign w:val="center"/>
                </w:tcPr>
                <w:p>
                  <w:pPr>
                    <w:jc w:val="center"/>
                    <w:rPr>
                      <w:color w:val="000000"/>
                      <w:szCs w:val="21"/>
                    </w:rPr>
                  </w:pPr>
                  <w:r>
                    <w:rPr>
                      <w:rFonts w:hint="eastAsia"/>
                      <w:color w:val="000000"/>
                      <w:szCs w:val="21"/>
                    </w:rPr>
                    <w:t>PPT是一种塑胶材料，中文名是PPT塑胶原料，塑胶原料是以高分子化合物为基础的材料。包括橡胶、塑料、纤维、涂料、胶粘剂和高分子基复合材料，它是各种增强材料制得的一种复合材料，综合了原有材料的性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414" w:type="dxa"/>
                  <w:vAlign w:val="center"/>
                </w:tcPr>
                <w:p>
                  <w:pPr>
                    <w:jc w:val="center"/>
                    <w:rPr>
                      <w:color w:val="000000"/>
                      <w:kern w:val="0"/>
                      <w:szCs w:val="21"/>
                    </w:rPr>
                  </w:pPr>
                  <w:r>
                    <w:rPr>
                      <w:rFonts w:hint="eastAsia"/>
                      <w:color w:val="000000"/>
                      <w:kern w:val="0"/>
                      <w:szCs w:val="21"/>
                    </w:rPr>
                    <w:t>干燥剂</w:t>
                  </w:r>
                </w:p>
              </w:tc>
              <w:tc>
                <w:tcPr>
                  <w:tcW w:w="6524" w:type="dxa"/>
                  <w:vAlign w:val="center"/>
                </w:tcPr>
                <w:p>
                  <w:pPr>
                    <w:jc w:val="center"/>
                    <w:rPr>
                      <w:color w:val="000000"/>
                      <w:szCs w:val="21"/>
                    </w:rPr>
                  </w:pPr>
                  <w:r>
                    <w:rPr>
                      <w:rFonts w:hint="eastAsia"/>
                      <w:color w:val="000000"/>
                      <w:szCs w:val="21"/>
                    </w:rPr>
                    <w:t>食品干燥剂一般是无毒、无味、无接触腐蚀性、无环境污染。食品干燥剂是为了降低食品袋中的湿度,防止食品变质腐败。食品中常用的干燥剂是氧化钙(Calcium Oxide)和硅胶(Silica Gel)，蒙脱石干燥剂，氯化钙干燥剂，纤维干燥剂。</w:t>
                  </w:r>
                </w:p>
              </w:tc>
            </w:tr>
          </w:tbl>
          <w:p>
            <w:pPr>
              <w:adjustRightInd w:val="0"/>
              <w:snapToGrid w:val="0"/>
              <w:spacing w:before="120" w:beforeLines="50" w:line="360" w:lineRule="auto"/>
              <w:ind w:firstLine="482" w:firstLineChars="200"/>
              <w:jc w:val="left"/>
              <w:rPr>
                <w:rFonts w:ascii="宋体" w:hAnsi="宋体" w:cs="宋体"/>
                <w:b/>
                <w:bCs/>
                <w:sz w:val="24"/>
              </w:rPr>
            </w:pPr>
            <w:r>
              <w:rPr>
                <w:rFonts w:hint="eastAsia" w:ascii="宋体" w:hAnsi="宋体" w:cs="宋体"/>
                <w:b/>
                <w:bCs/>
                <w:sz w:val="24"/>
              </w:rPr>
              <w:t>项目用水平衡图</w:t>
            </w:r>
          </w:p>
          <w:p>
            <w:pPr>
              <w:adjustRightInd w:val="0"/>
              <w:snapToGrid w:val="0"/>
              <w:spacing w:line="360" w:lineRule="auto"/>
              <w:ind w:firstLine="480" w:firstLineChars="200"/>
              <w:jc w:val="left"/>
              <w:rPr>
                <w:color w:val="FF0000"/>
                <w:sz w:val="24"/>
              </w:rPr>
            </w:pPr>
            <w:r>
              <w:rPr>
                <w:rFonts w:hAnsi="宋体"/>
                <w:sz w:val="24"/>
              </w:rPr>
              <w:t>本项目建成后废水产生量约为</w:t>
            </w:r>
            <w:r>
              <w:rPr>
                <w:rFonts w:hint="eastAsia"/>
                <w:sz w:val="24"/>
              </w:rPr>
              <w:t>7920</w:t>
            </w:r>
            <w:r>
              <w:rPr>
                <w:sz w:val="24"/>
              </w:rPr>
              <w:t>m</w:t>
            </w:r>
            <w:r>
              <w:rPr>
                <w:sz w:val="24"/>
                <w:vertAlign w:val="superscript"/>
              </w:rPr>
              <w:t>3</w:t>
            </w:r>
            <w:r>
              <w:rPr>
                <w:sz w:val="24"/>
              </w:rPr>
              <w:t>/a</w:t>
            </w:r>
            <w:r>
              <w:rPr>
                <w:rFonts w:hAnsi="宋体"/>
                <w:sz w:val="24"/>
              </w:rPr>
              <w:t>，</w:t>
            </w:r>
            <w:r>
              <w:rPr>
                <w:rFonts w:hint="eastAsia" w:hAnsi="宋体"/>
                <w:sz w:val="24"/>
              </w:rPr>
              <w:t>生活污水经化粪池预处理后与生产废水一起</w:t>
            </w:r>
            <w:r>
              <w:rPr>
                <w:rFonts w:hAnsi="宋体"/>
                <w:sz w:val="24"/>
              </w:rPr>
              <w:t>经厂区污水处理站处理</w:t>
            </w:r>
            <w:r>
              <w:rPr>
                <w:rFonts w:hint="eastAsia" w:hAnsi="宋体"/>
                <w:sz w:val="24"/>
              </w:rPr>
              <w:t>后</w:t>
            </w:r>
            <w:r>
              <w:rPr>
                <w:rFonts w:hAnsi="宋体"/>
                <w:sz w:val="24"/>
              </w:rPr>
              <w:t>达《污水综合排放标准》（</w:t>
            </w:r>
            <w:r>
              <w:rPr>
                <w:sz w:val="24"/>
              </w:rPr>
              <w:t>GB8978-1996</w:t>
            </w:r>
            <w:r>
              <w:rPr>
                <w:rFonts w:hAnsi="宋体"/>
                <w:sz w:val="24"/>
              </w:rPr>
              <w:t>）中表</w:t>
            </w:r>
            <w:r>
              <w:rPr>
                <w:sz w:val="24"/>
              </w:rPr>
              <w:t>4</w:t>
            </w:r>
            <w:r>
              <w:rPr>
                <w:rFonts w:hAnsi="宋体"/>
                <w:sz w:val="24"/>
              </w:rPr>
              <w:t>中三级标准要求，其中氨氮</w:t>
            </w:r>
            <w:r>
              <w:rPr>
                <w:rFonts w:hint="eastAsia" w:hAnsi="宋体"/>
                <w:sz w:val="24"/>
              </w:rPr>
              <w:t>、总磷</w:t>
            </w:r>
            <w:r>
              <w:rPr>
                <w:rFonts w:hAnsi="宋体"/>
                <w:sz w:val="24"/>
              </w:rPr>
              <w:t>达《污水排入城镇下水道水质标准中（</w:t>
            </w:r>
            <w:r>
              <w:rPr>
                <w:sz w:val="24"/>
              </w:rPr>
              <w:t>GBT31962-2015</w:t>
            </w:r>
            <w:r>
              <w:rPr>
                <w:rFonts w:hAnsi="宋体"/>
                <w:sz w:val="24"/>
              </w:rPr>
              <w:t>）表</w:t>
            </w:r>
            <w:r>
              <w:rPr>
                <w:sz w:val="24"/>
              </w:rPr>
              <w:t>1</w:t>
            </w:r>
            <w:r>
              <w:rPr>
                <w:rFonts w:hAnsi="宋体"/>
                <w:sz w:val="24"/>
              </w:rPr>
              <w:t>中</w:t>
            </w:r>
            <w:r>
              <w:rPr>
                <w:sz w:val="24"/>
              </w:rPr>
              <w:t>B</w:t>
            </w:r>
            <w:r>
              <w:rPr>
                <w:rFonts w:hAnsi="宋体"/>
                <w:sz w:val="24"/>
              </w:rPr>
              <w:t>等级标准后，通过污水管网纳入</w:t>
            </w:r>
            <w:r>
              <w:rPr>
                <w:rFonts w:hint="eastAsia" w:hAnsi="宋体"/>
                <w:sz w:val="24"/>
                <w:lang w:eastAsia="zh-CN"/>
              </w:rPr>
              <w:t>滁州市第二</w:t>
            </w:r>
            <w:r>
              <w:rPr>
                <w:rFonts w:hAnsi="宋体"/>
                <w:sz w:val="24"/>
              </w:rPr>
              <w:t>污水处理厂集中处理，尾水达《城镇污水处理厂污染物排放标准》（</w:t>
            </w:r>
            <w:r>
              <w:rPr>
                <w:sz w:val="24"/>
              </w:rPr>
              <w:t>GB18918-2002</w:t>
            </w:r>
            <w:r>
              <w:rPr>
                <w:rFonts w:hAnsi="宋体"/>
                <w:sz w:val="24"/>
              </w:rPr>
              <w:t>）中一级</w:t>
            </w:r>
            <w:r>
              <w:rPr>
                <w:sz w:val="24"/>
              </w:rPr>
              <w:t>A</w:t>
            </w:r>
            <w:r>
              <w:rPr>
                <w:rFonts w:hAnsi="宋体"/>
                <w:sz w:val="24"/>
              </w:rPr>
              <w:t>标准要求后排入</w:t>
            </w:r>
            <w:r>
              <w:rPr>
                <w:rFonts w:hint="eastAsia" w:hAnsi="宋体"/>
                <w:sz w:val="24"/>
              </w:rPr>
              <w:t>池</w:t>
            </w:r>
            <w:r>
              <w:rPr>
                <w:rFonts w:hAnsi="宋体"/>
                <w:sz w:val="24"/>
              </w:rPr>
              <w:t>河。</w:t>
            </w:r>
          </w:p>
          <w:p>
            <w:pPr>
              <w:adjustRightInd w:val="0"/>
              <w:snapToGrid w:val="0"/>
              <w:spacing w:line="360" w:lineRule="auto"/>
              <w:ind w:firstLine="480" w:firstLineChars="200"/>
              <w:jc w:val="left"/>
              <w:rPr>
                <w:rFonts w:ascii="宋体" w:hAnsi="宋体" w:cs="宋体"/>
                <w:b/>
                <w:bCs/>
                <w:color w:val="FF0000"/>
                <w:sz w:val="24"/>
              </w:rPr>
            </w:pPr>
            <w:r>
              <w:rPr>
                <w:sz w:val="24"/>
              </w:rPr>
              <w:pict>
                <v:group id="_x0000_s2050" o:spid="_x0000_s2050" o:spt="203" style="height:267.55pt;width:384.3pt;" coordorigin="1406,9577" coordsize="7686,5351" editas="canvas">
                  <o:lock v:ext="edit"/>
                  <v:shape id="_x0000_s1272" o:spid="_x0000_s1272" o:spt="75" type="#_x0000_t75" style="position:absolute;left:1406;top:9577;height:5351;width:7686;" filled="f" o:preferrelative="t" stroked="f" coordsize="21600,21600">
                    <v:path/>
                    <v:fill on="f" focussize="0,0"/>
                    <v:stroke on="f" joinstyle="miter"/>
                    <v:imagedata o:title=""/>
                    <o:lock v:ext="edit" text="t" aspectratio="t"/>
                  </v:shape>
                  <v:shape id="_x0000_s2051" o:spid="_x0000_s2051" o:spt="32" type="#_x0000_t32" style="position:absolute;left:1630;top:12214;flip:y;height:5;width:627;" filled="f" coordsize="21600,21600">
                    <v:path arrowok="t"/>
                    <v:fill on="f" focussize="0,0"/>
                    <v:stroke endarrow="block"/>
                    <v:imagedata o:title=""/>
                    <o:lock v:ext="edit"/>
                  </v:shape>
                  <v:shape id="_x0000_s2052" o:spid="_x0000_s2052" o:spt="202" type="#_x0000_t202" style="position:absolute;left:2681;top:10193;height:420;width:1629;" coordsize="21600,21600">
                    <v:path/>
                    <v:fill focussize="0,0"/>
                    <v:stroke joinstyle="miter"/>
                    <v:imagedata o:title=""/>
                    <o:lock v:ext="edit"/>
                    <v:textbox>
                      <w:txbxContent>
                        <w:p>
                          <w:pPr>
                            <w:jc w:val="center"/>
                          </w:pPr>
                          <w:r>
                            <w:rPr>
                              <w:rFonts w:hint="eastAsia"/>
                            </w:rPr>
                            <w:t>原料清洗用水</w:t>
                          </w:r>
                        </w:p>
                      </w:txbxContent>
                    </v:textbox>
                  </v:shape>
                  <v:shape id="_x0000_s2053" o:spid="_x0000_s2053" style="position:absolute;left:3334;top:9773;height:360;width:255;" filled="f" coordsize="405,360" path="m0,360c37,240,75,120,120,105c165,90,223,287,270,270c317,253,361,126,405,0e">
                    <v:path arrowok="t"/>
                    <v:fill on="f" focussize="0,0"/>
                    <v:stroke dashstyle="1 1" endarrow="block"/>
                    <v:imagedata o:title=""/>
                    <o:lock v:ext="edit"/>
                  </v:shape>
                  <v:shape id="_x0000_s2054" o:spid="_x0000_s2054" o:spt="202" type="#_x0000_t202" style="position:absolute;left:3447;top:9577;height:420;width:1321;" filled="f" stroked="f" coordsize="21600,21600">
                    <v:path/>
                    <v:fill on="f" focussize="0,0"/>
                    <v:stroke on="f" joinstyle="miter"/>
                    <v:imagedata o:title=""/>
                    <o:lock v:ext="edit"/>
                    <v:textbox>
                      <w:txbxContent>
                        <w:p>
                          <w:pPr>
                            <w:jc w:val="center"/>
                          </w:pPr>
                          <w:r>
                            <w:rPr>
                              <w:rFonts w:hint="eastAsia"/>
                            </w:rPr>
                            <w:t>损耗0.14</w:t>
                          </w:r>
                        </w:p>
                      </w:txbxContent>
                    </v:textbox>
                  </v:shape>
                  <v:shape id="_x0000_s2055" o:spid="_x0000_s2055" o:spt="32" type="#_x0000_t32" style="position:absolute;left:4310;top:10415;height:3;width:1545;" filled="f" coordsize="21600,21600">
                    <v:path arrowok="t"/>
                    <v:fill on="f" focussize="0,0"/>
                    <v:stroke endarrow="block"/>
                    <v:imagedata o:title=""/>
                    <o:lock v:ext="edit"/>
                  </v:shape>
                  <v:shape id="_x0000_s2056" o:spid="_x0000_s2056" o:spt="202" type="#_x0000_t202" style="position:absolute;left:4365;top:10075;height:420;width:771;" filled="f" stroked="f" coordsize="21600,21600">
                    <v:path/>
                    <v:fill on="f" focussize="0,0"/>
                    <v:stroke on="f" joinstyle="miter"/>
                    <v:imagedata o:title=""/>
                    <o:lock v:ext="edit"/>
                    <v:textbox>
                      <w:txbxContent>
                        <w:p>
                          <w:pPr>
                            <w:jc w:val="center"/>
                          </w:pPr>
                          <w:r>
                            <w:rPr>
                              <w:rFonts w:hint="eastAsia"/>
                            </w:rPr>
                            <w:t>0.53</w:t>
                          </w:r>
                        </w:p>
                      </w:txbxContent>
                    </v:textbox>
                  </v:shape>
                  <v:shape id="_x0000_s2057" o:spid="_x0000_s2057" o:spt="32" type="#_x0000_t32" style="position:absolute;left:5855;top:10394;flip:x y;height:3884;width:2;" filled="f" coordsize="21600,21600">
                    <v:path arrowok="t"/>
                    <v:fill on="f" focussize="0,0"/>
                    <v:stroke/>
                    <v:imagedata o:title=""/>
                    <o:lock v:ext="edit"/>
                  </v:shape>
                  <v:shape id="_x0000_s2058" o:spid="_x0000_s2058" o:spt="202" type="#_x0000_t202" style="position:absolute;left:6544;top:11392;height:420;width:1485;" coordsize="21600,21600">
                    <v:path/>
                    <v:fill focussize="0,0"/>
                    <v:stroke joinstyle="miter"/>
                    <v:imagedata o:title=""/>
                    <o:lock v:ext="edit"/>
                    <v:textbox>
                      <w:txbxContent>
                        <w:p>
                          <w:pPr>
                            <w:jc w:val="center"/>
                          </w:pPr>
                          <w:r>
                            <w:rPr>
                              <w:rFonts w:hint="eastAsia"/>
                            </w:rPr>
                            <w:t>污水处理站</w:t>
                          </w:r>
                        </w:p>
                      </w:txbxContent>
                    </v:textbox>
                  </v:shape>
                  <v:shape id="_x0000_s2059" o:spid="_x0000_s2059" o:spt="202" type="#_x0000_t202" style="position:absolute;left:2125;top:14153;height:339;width:705;" filled="f" stroked="f" coordsize="21600,21600">
                    <v:path/>
                    <v:fill on="f" focussize="0,0"/>
                    <v:stroke on="f" joinstyle="miter"/>
                    <v:imagedata o:title=""/>
                    <o:lock v:ext="edit"/>
                    <v:textbox inset="0.5mm,0.5mm,0.5mm,0.5mm">
                      <w:txbxContent>
                        <w:p>
                          <w:pPr>
                            <w:jc w:val="center"/>
                          </w:pPr>
                          <w:r>
                            <w:rPr>
                              <w:rFonts w:hint="eastAsia"/>
                            </w:rPr>
                            <w:t>10</w:t>
                          </w:r>
                        </w:p>
                      </w:txbxContent>
                    </v:textbox>
                  </v:shape>
                  <v:shape id="_x0000_s2060" o:spid="_x0000_s2060" o:spt="202" type="#_x0000_t202" style="position:absolute;left:6424;top:12397;height:840;width:1875;" coordsize="21600,21600">
                    <v:path/>
                    <v:fill focussize="0,0"/>
                    <v:stroke joinstyle="miter"/>
                    <v:imagedata o:title=""/>
                    <o:lock v:ext="edit"/>
                    <v:textbox>
                      <w:txbxContent>
                        <w:p>
                          <w:pPr>
                            <w:jc w:val="center"/>
                          </w:pPr>
                          <w:r>
                            <w:rPr>
                              <w:rFonts w:hint="eastAsia"/>
                            </w:rPr>
                            <w:t>滁州市第二污水处理厂</w:t>
                          </w:r>
                        </w:p>
                      </w:txbxContent>
                    </v:textbox>
                  </v:shape>
                  <v:shape id="_x0000_s2061" o:spid="_x0000_s2061" o:spt="202" type="#_x0000_t202" style="position:absolute;left:5795;top:11185;height:339;width:705;" filled="f" stroked="f" coordsize="21600,21600">
                    <v:path/>
                    <v:fill on="f" focussize="0,0"/>
                    <v:stroke on="f" joinstyle="miter"/>
                    <v:imagedata o:title=""/>
                    <o:lock v:ext="edit"/>
                    <v:textbox inset="0.5mm,0.5mm,0.5mm,0.5mm">
                      <w:txbxContent>
                        <w:p>
                          <w:pPr>
                            <w:jc w:val="center"/>
                          </w:pPr>
                          <w:r>
                            <w:rPr>
                              <w:rFonts w:hint="eastAsia"/>
                            </w:rPr>
                            <w:t>26.4</w:t>
                          </w:r>
                        </w:p>
                      </w:txbxContent>
                    </v:textbox>
                  </v:shape>
                  <v:shape id="_x0000_s2062" o:spid="_x0000_s2062" o:spt="202" type="#_x0000_t202" style="position:absolute;left:6397;top:13791;height:360;width:1802;" filled="f" stroked="f" coordsize="21600,21600">
                    <v:path/>
                    <v:fill on="f" focussize="0,0"/>
                    <v:stroke on="f" joinstyle="miter"/>
                    <v:imagedata o:title=""/>
                    <o:lock v:ext="edit"/>
                    <v:textbox inset="0.5mm,0.5mm,0.5mm,0.5mm">
                      <w:txbxContent>
                        <w:p>
                          <w:pPr>
                            <w:jc w:val="center"/>
                          </w:pPr>
                          <w:r>
                            <w:rPr>
                              <w:rFonts w:hint="eastAsia"/>
                            </w:rPr>
                            <w:t>排入清流河</w:t>
                          </w:r>
                        </w:p>
                      </w:txbxContent>
                    </v:textbox>
                  </v:shape>
                  <v:shape id="_x0000_s2063" o:spid="_x0000_s2063" o:spt="202" type="#_x0000_t202" style="position:absolute;left:2681;top:11072;height:420;width:1629;" coordsize="21600,21600">
                    <v:path/>
                    <v:fill focussize="0,0"/>
                    <v:stroke joinstyle="miter"/>
                    <v:imagedata o:title=""/>
                    <o:lock v:ext="edit"/>
                    <v:textbox>
                      <w:txbxContent>
                        <w:p>
                          <w:pPr>
                            <w:jc w:val="center"/>
                          </w:pPr>
                          <w:r>
                            <w:rPr>
                              <w:rFonts w:hint="eastAsia"/>
                            </w:rPr>
                            <w:t>设备清洗用水</w:t>
                          </w:r>
                        </w:p>
                      </w:txbxContent>
                    </v:textbox>
                  </v:shape>
                  <v:shape id="_x0000_s2064" o:spid="_x0000_s2064" o:spt="202" type="#_x0000_t202" style="position:absolute;left:2682;top:14248;height:420;width:1629;" coordsize="21600,21600">
                    <v:path/>
                    <v:fill focussize="0,0"/>
                    <v:stroke joinstyle="miter"/>
                    <v:imagedata o:title=""/>
                    <o:lock v:ext="edit"/>
                    <v:textbox>
                      <w:txbxContent>
                        <w:p>
                          <w:pPr>
                            <w:jc w:val="center"/>
                          </w:pPr>
                          <w:r>
                            <w:rPr>
                              <w:rFonts w:hint="eastAsia"/>
                            </w:rPr>
                            <w:t>生活用水</w:t>
                          </w:r>
                        </w:p>
                      </w:txbxContent>
                    </v:textbox>
                  </v:shape>
                  <v:shape id="_x0000_s2066" o:spid="_x0000_s2066" o:spt="202" type="#_x0000_t202" style="position:absolute;left:5331;top:14285;height:420;width:1485;" coordsize="21600,21600">
                    <v:path/>
                    <v:fill focussize="0,0"/>
                    <v:stroke joinstyle="miter"/>
                    <v:imagedata o:title=""/>
                    <o:lock v:ext="edit"/>
                    <v:textbox>
                      <w:txbxContent>
                        <w:p>
                          <w:pPr>
                            <w:jc w:val="center"/>
                          </w:pPr>
                          <w:r>
                            <w:rPr>
                              <w:rFonts w:hint="eastAsia"/>
                            </w:rPr>
                            <w:t>化粪池</w:t>
                          </w:r>
                        </w:p>
                      </w:txbxContent>
                    </v:textbox>
                  </v:shape>
                  <v:shape id="_x0000_s2068" o:spid="_x0000_s2068" o:spt="32" type="#_x0000_t32" style="position:absolute;left:4311;top:11280;flip:y;height:7;width:1557;" filled="f" coordsize="21600,21600">
                    <v:path arrowok="t"/>
                    <v:fill on="f" focussize="0,0"/>
                    <v:stroke endarrow="block"/>
                    <v:imagedata o:title=""/>
                    <o:lock v:ext="edit"/>
                  </v:shape>
                  <v:shape id="_x0000_s2069" o:spid="_x0000_s2069" o:spt="32" type="#_x0000_t32" style="position:absolute;left:2243;top:10405;height:4035;width:12;" filled="f" coordsize="21600,21600">
                    <v:path arrowok="t"/>
                    <v:fill on="f" focussize="0,0"/>
                    <v:stroke/>
                    <v:imagedata o:title=""/>
                    <o:lock v:ext="edit"/>
                  </v:shape>
                  <v:shape id="_x0000_s2070" o:spid="_x0000_s2070" o:spt="32" type="#_x0000_t32" style="position:absolute;left:2232;top:10402;height:1;width:449;" filled="f" coordsize="21600,21600">
                    <v:path arrowok="t"/>
                    <v:fill on="f" focussize="0,0"/>
                    <v:stroke/>
                    <v:imagedata o:title=""/>
                    <o:lock v:ext="edit"/>
                  </v:shape>
                  <v:shape id="_x0000_s2071" o:spid="_x0000_s2071" o:spt="32" type="#_x0000_t32" style="position:absolute;left:2231;top:12045;height:1;width:450;" filled="f" coordsize="21600,21600">
                    <v:path arrowok="t"/>
                    <v:fill on="f" focussize="0,0"/>
                    <v:stroke/>
                    <v:imagedata o:title=""/>
                    <o:lock v:ext="edit"/>
                  </v:shape>
                  <v:shape id="_x0000_s2072" o:spid="_x0000_s2072" o:spt="32" type="#_x0000_t32" style="position:absolute;left:2232;top:11235;flip:y;height:9;width:448;" filled="f" coordsize="21600,21600">
                    <v:path arrowok="t"/>
                    <v:fill on="f" focussize="0,0"/>
                    <v:stroke/>
                    <v:imagedata o:title=""/>
                    <o:lock v:ext="edit"/>
                  </v:shape>
                  <v:shape id="_x0000_s2073" o:spid="_x0000_s2073" style="position:absolute;left:3334;top:10687;height:360;width:255;" filled="f" coordsize="405,360" path="m0,360c37,240,75,120,120,105c165,90,223,287,270,270c317,253,361,126,405,0e">
                    <v:path arrowok="t"/>
                    <v:fill on="f" focussize="0,0"/>
                    <v:stroke dashstyle="1 1" endarrow="block"/>
                    <v:imagedata o:title=""/>
                    <o:lock v:ext="edit"/>
                  </v:shape>
                  <v:shape id="_x0000_s2074" o:spid="_x0000_s2074" style="position:absolute;left:3334;top:11476;height:360;width:255;" filled="f" coordsize="405,360" path="m0,360c37,240,75,120,120,105c165,90,223,287,270,270c317,253,361,126,405,0e">
                    <v:path arrowok="t"/>
                    <v:fill on="f" focussize="0,0"/>
                    <v:stroke dashstyle="1 1" endarrow="block"/>
                    <v:imagedata o:title=""/>
                    <o:lock v:ext="edit"/>
                  </v:shape>
                  <v:shape id="_x0000_s2075" o:spid="_x0000_s2075" o:spt="202" type="#_x0000_t202" style="position:absolute;left:3447;top:10627;height:420;width:1321;" filled="f" stroked="f" coordsize="21600,21600">
                    <v:path/>
                    <v:fill on="f" focussize="0,0"/>
                    <v:stroke on="f" joinstyle="miter"/>
                    <v:imagedata o:title=""/>
                    <o:lock v:ext="edit"/>
                    <v:textbox>
                      <w:txbxContent>
                        <w:p>
                          <w:pPr>
                            <w:jc w:val="center"/>
                          </w:pPr>
                          <w:r>
                            <w:rPr>
                              <w:rFonts w:hint="eastAsia"/>
                            </w:rPr>
                            <w:t>损耗0.5</w:t>
                          </w:r>
                        </w:p>
                      </w:txbxContent>
                    </v:textbox>
                  </v:shape>
                  <v:shape id="_x0000_s2076" o:spid="_x0000_s2076" o:spt="202" type="#_x0000_t202" style="position:absolute;left:3418;top:11416;height:420;width:1321;" filled="f" stroked="f" coordsize="21600,21600">
                    <v:path/>
                    <v:fill on="f" focussize="0,0"/>
                    <v:stroke on="f" joinstyle="miter"/>
                    <v:imagedata o:title=""/>
                    <o:lock v:ext="edit"/>
                    <v:textbox>
                      <w:txbxContent>
                        <w:p>
                          <w:pPr>
                            <w:jc w:val="center"/>
                          </w:pPr>
                          <w:r>
                            <w:rPr>
                              <w:rFonts w:hint="eastAsia"/>
                            </w:rPr>
                            <w:t>损耗0.5</w:t>
                          </w:r>
                        </w:p>
                      </w:txbxContent>
                    </v:textbox>
                  </v:shape>
                  <v:shape id="_x0000_s2077" o:spid="_x0000_s2077" o:spt="32" type="#_x0000_t32" style="position:absolute;left:7288;top:11824;height:579;width:7;" filled="f" coordsize="21600,21600">
                    <v:path arrowok="t"/>
                    <v:fill on="f" focussize="0,0"/>
                    <v:stroke endarrow="block"/>
                    <v:imagedata o:title=""/>
                    <o:lock v:ext="edit"/>
                  </v:shape>
                  <v:shape id="_x0000_s2078" o:spid="_x0000_s2078" o:spt="202" type="#_x0000_t202" style="position:absolute;left:2050;top:12465;height:420;width:869;" filled="f" stroked="f" coordsize="21600,21600">
                    <v:path/>
                    <v:fill on="f" focussize="0,0"/>
                    <v:stroke on="f" joinstyle="miter"/>
                    <v:imagedata o:title=""/>
                    <o:lock v:ext="edit"/>
                    <v:textbox>
                      <w:txbxContent>
                        <w:p>
                          <w:pPr>
                            <w:jc w:val="center"/>
                          </w:pPr>
                          <w:r>
                            <w:rPr>
                              <w:rFonts w:hint="eastAsia"/>
                            </w:rPr>
                            <w:t>0.07</w:t>
                          </w:r>
                        </w:p>
                      </w:txbxContent>
                    </v:textbox>
                  </v:shape>
                  <v:shape id="_x0000_s2079" o:spid="_x0000_s2079" o:spt="202" type="#_x0000_t202" style="position:absolute;left:2046;top:10003;height:420;width:869;" filled="f" stroked="f" coordsize="21600,21600">
                    <v:path/>
                    <v:fill on="f" focussize="0,0"/>
                    <v:stroke on="f" joinstyle="miter"/>
                    <v:imagedata o:title=""/>
                    <o:lock v:ext="edit"/>
                    <v:textbox>
                      <w:txbxContent>
                        <w:p>
                          <w:pPr>
                            <w:jc w:val="center"/>
                          </w:pPr>
                          <w:r>
                            <w:rPr>
                              <w:rFonts w:hint="eastAsia"/>
                            </w:rPr>
                            <w:t>0.67</w:t>
                          </w:r>
                        </w:p>
                      </w:txbxContent>
                    </v:textbox>
                  </v:shape>
                  <v:shape id="_x0000_s2080" o:spid="_x0000_s2080" o:spt="202" type="#_x0000_t202" style="position:absolute;left:2044;top:10871;height:420;width:869;" filled="f" stroked="f" coordsize="21600,21600">
                    <v:path/>
                    <v:fill on="f" focussize="0,0"/>
                    <v:stroke on="f" joinstyle="miter"/>
                    <v:imagedata o:title=""/>
                    <o:lock v:ext="edit"/>
                    <v:textbox>
                      <w:txbxContent>
                        <w:p>
                          <w:pPr>
                            <w:jc w:val="center"/>
                          </w:pPr>
                          <w:r>
                            <w:rPr>
                              <w:rFonts w:hint="eastAsia"/>
                            </w:rPr>
                            <w:t>5</w:t>
                          </w:r>
                        </w:p>
                      </w:txbxContent>
                    </v:textbox>
                  </v:shape>
                  <v:shape id="_x0000_s2081" o:spid="_x0000_s2081" o:spt="202" type="#_x0000_t202" style="position:absolute;left:2046;top:11748;height:420;width:869;" filled="f" stroked="f" coordsize="21600,21600">
                    <v:path/>
                    <v:fill on="f" focussize="0,0"/>
                    <v:stroke on="f" joinstyle="miter"/>
                    <v:imagedata o:title=""/>
                    <o:lock v:ext="edit"/>
                    <v:textbox>
                      <w:txbxContent>
                        <w:p>
                          <w:pPr>
                            <w:jc w:val="center"/>
                          </w:pPr>
                          <w:r>
                            <w:rPr>
                              <w:rFonts w:hint="eastAsia"/>
                            </w:rPr>
                            <w:t>4.8</w:t>
                          </w:r>
                        </w:p>
                      </w:txbxContent>
                    </v:textbox>
                  </v:shape>
                  <v:shape id="_x0000_s2082" o:spid="_x0000_s2082" o:spt="202" type="#_x0000_t202" style="position:absolute;left:4450;top:10968;height:420;width:707;" filled="f" stroked="f" coordsize="21600,21600">
                    <v:path/>
                    <v:fill on="f" focussize="0,0"/>
                    <v:stroke on="f" joinstyle="miter"/>
                    <v:imagedata o:title=""/>
                    <o:lock v:ext="edit"/>
                    <v:textbox>
                      <w:txbxContent>
                        <w:p>
                          <w:pPr>
                            <w:jc w:val="center"/>
                          </w:pPr>
                          <w:r>
                            <w:rPr>
                              <w:rFonts w:hint="eastAsia"/>
                            </w:rPr>
                            <w:t>4.5</w:t>
                          </w:r>
                        </w:p>
                      </w:txbxContent>
                    </v:textbox>
                  </v:shape>
                  <v:shape id="_x0000_s2083" o:spid="_x0000_s2083" o:spt="202" type="#_x0000_t202" style="position:absolute;left:4423;top:11696;height:420;width:870;" filled="f" stroked="f" coordsize="21600,21600">
                    <v:path/>
                    <v:fill on="f" focussize="0,0"/>
                    <v:stroke on="f" joinstyle="miter"/>
                    <v:imagedata o:title=""/>
                    <o:lock v:ext="edit"/>
                    <v:textbox>
                      <w:txbxContent>
                        <w:p>
                          <w:pPr>
                            <w:jc w:val="center"/>
                          </w:pPr>
                          <w:r>
                            <w:rPr>
                              <w:rFonts w:hint="eastAsia"/>
                            </w:rPr>
                            <w:t>4.3</w:t>
                          </w:r>
                        </w:p>
                      </w:txbxContent>
                    </v:textbox>
                  </v:shape>
                  <v:shape id="_x0000_s2084" o:spid="_x0000_s2084" o:spt="202" type="#_x0000_t202" style="position:absolute;left:2033;top:13292;height:420;width:870;" filled="f" stroked="f" coordsize="21600,21600">
                    <v:path/>
                    <v:fill on="f" focussize="0,0"/>
                    <v:stroke on="f" joinstyle="miter"/>
                    <v:imagedata o:title=""/>
                    <o:lock v:ext="edit"/>
                    <v:textbox>
                      <w:txbxContent>
                        <w:p>
                          <w:pPr>
                            <w:jc w:val="center"/>
                          </w:pPr>
                          <w:r>
                            <w:rPr>
                              <w:rFonts w:hint="eastAsia"/>
                            </w:rPr>
                            <w:t>11.33</w:t>
                          </w:r>
                        </w:p>
                      </w:txbxContent>
                    </v:textbox>
                  </v:shape>
                  <v:shape id="_x0000_s2085" o:spid="_x0000_s2085" o:spt="202" type="#_x0000_t202" style="position:absolute;left:4295;top:13338;height:420;width:870;" filled="f" stroked="f" coordsize="21600,21600">
                    <v:path/>
                    <v:fill on="f" focussize="0,0"/>
                    <v:stroke on="f" joinstyle="miter"/>
                    <v:imagedata o:title=""/>
                    <o:lock v:ext="edit"/>
                    <v:textbox>
                      <w:txbxContent>
                        <w:p>
                          <w:pPr>
                            <w:jc w:val="center"/>
                          </w:pPr>
                          <w:r>
                            <w:rPr>
                              <w:rFonts w:hint="eastAsia"/>
                            </w:rPr>
                            <w:t>9.07</w:t>
                          </w:r>
                        </w:p>
                      </w:txbxContent>
                    </v:textbox>
                  </v:shape>
                  <v:shape id="_x0000_s2421" o:spid="_x0000_s2421" o:spt="202" type="#_x0000_t202" style="position:absolute;left:2702;top:11848;height:420;width:1620;" coordsize="21600,21600">
                    <v:path/>
                    <v:fill focussize="0,0"/>
                    <v:stroke joinstyle="miter"/>
                    <v:imagedata o:title=""/>
                    <o:lock v:ext="edit"/>
                    <v:textbox>
                      <w:txbxContent>
                        <w:p>
                          <w:pPr>
                            <w:jc w:val="center"/>
                          </w:pPr>
                          <w:r>
                            <w:rPr>
                              <w:rFonts w:hint="eastAsia"/>
                            </w:rPr>
                            <w:t>地面冲洗用水</w:t>
                          </w:r>
                        </w:p>
                      </w:txbxContent>
                    </v:textbox>
                  </v:shape>
                  <v:shape id="_x0000_s2422" o:spid="_x0000_s2422" o:spt="32" type="#_x0000_t32" style="position:absolute;left:2238;top:13647;flip:y;height:0;width:440;" filled="f" coordsize="21600,21600">
                    <v:path arrowok="t"/>
                    <v:fill on="f" focussize="0,0"/>
                    <v:stroke/>
                    <v:imagedata o:title=""/>
                    <o:lock v:ext="edit"/>
                  </v:shape>
                  <v:shape id="_x0000_s2423" o:spid="_x0000_s2423" o:spt="32" type="#_x0000_t32" style="position:absolute;left:2242;top:12850;flip:y;height:0;width:440;" filled="f" coordsize="21600,21600">
                    <v:path arrowok="t"/>
                    <v:fill on="f" focussize="0,0"/>
                    <v:stroke/>
                    <v:imagedata o:title=""/>
                    <o:lock v:ext="edit"/>
                  </v:shape>
                  <v:shape id="_x0000_s2424" o:spid="_x0000_s2424" o:spt="202" type="#_x0000_t202" style="position:absolute;left:2702;top:12623;height:420;width:1620;" coordsize="21600,21600">
                    <v:path/>
                    <v:fill focussize="0,0"/>
                    <v:stroke joinstyle="miter"/>
                    <v:imagedata o:title=""/>
                    <o:lock v:ext="edit"/>
                    <v:textbox>
                      <w:txbxContent>
                        <w:p>
                          <w:pPr>
                            <w:jc w:val="center"/>
                          </w:pPr>
                          <w:r>
                            <w:rPr>
                              <w:rFonts w:hint="eastAsia"/>
                            </w:rPr>
                            <w:t>熬糖浆用水</w:t>
                          </w:r>
                        </w:p>
                      </w:txbxContent>
                    </v:textbox>
                  </v:shape>
                  <v:shape id="_x0000_s2425" o:spid="_x0000_s2425" o:spt="32" type="#_x0000_t32" style="position:absolute;left:4327;top:12815;flip:y;height:6;width:491;" filled="f" coordsize="21600,21600">
                    <v:path arrowok="t"/>
                    <v:fill on="f" focussize="0,0"/>
                    <v:stroke endarrow="block"/>
                    <v:imagedata o:title=""/>
                    <o:lock v:ext="edit"/>
                  </v:shape>
                  <v:shape id="_x0000_s2426" o:spid="_x0000_s2426" o:spt="202" type="#_x0000_t202" style="position:absolute;left:4715;top:12659;height:360;width:1089;" filled="f" stroked="f" coordsize="21600,21600">
                    <v:path/>
                    <v:fill on="f" focussize="0,0"/>
                    <v:stroke on="f" joinstyle="miter"/>
                    <v:imagedata o:title=""/>
                    <o:lock v:ext="edit"/>
                    <v:textbox inset="0.5mm,0.5mm,0.5mm,0.5mm">
                      <w:txbxContent>
                        <w:p>
                          <w:pPr>
                            <w:jc w:val="center"/>
                          </w:pPr>
                          <w:r>
                            <w:rPr>
                              <w:rFonts w:hint="eastAsia"/>
                            </w:rPr>
                            <w:t>进入产品</w:t>
                          </w:r>
                        </w:p>
                      </w:txbxContent>
                    </v:textbox>
                  </v:shape>
                  <v:shape id="_x0000_s2427" o:spid="_x0000_s2427" o:spt="32" type="#_x0000_t32" style="position:absolute;left:2239;top:14435;flip:y;height:0;width:440;" filled="f" coordsize="21600,21600">
                    <v:path arrowok="t"/>
                    <v:fill on="f" focussize="0,0"/>
                    <v:stroke/>
                    <v:imagedata o:title=""/>
                    <o:lock v:ext="edit"/>
                  </v:shape>
                  <v:shape id="_x0000_s2428" o:spid="_x0000_s2428" o:spt="202" type="#_x0000_t202" style="position:absolute;left:2689;top:13435;height:420;width:1620;" coordsize="21600,21600">
                    <v:path/>
                    <v:fill focussize="0,0"/>
                    <v:stroke joinstyle="miter"/>
                    <v:imagedata o:title=""/>
                    <o:lock v:ext="edit"/>
                    <v:textbox>
                      <w:txbxContent>
                        <w:p>
                          <w:pPr>
                            <w:jc w:val="center"/>
                          </w:pPr>
                          <w:r>
                            <w:rPr>
                              <w:rFonts w:hint="eastAsia"/>
                            </w:rPr>
                            <w:t>煮料用水</w:t>
                          </w:r>
                        </w:p>
                      </w:txbxContent>
                    </v:textbox>
                  </v:shape>
                  <v:shape id="_x0000_s2429" o:spid="_x0000_s2429" style="position:absolute;left:3152;top:13061;height:360;width:240;" filled="f" coordsize="405,360" path="m0,360c37,240,75,120,120,105c165,90,223,287,270,270c317,253,361,126,405,0e">
                    <v:path arrowok="t"/>
                    <v:fill on="f" focussize="0,0"/>
                    <v:stroke dashstyle="1 1" endarrow="block"/>
                    <v:imagedata o:title=""/>
                    <o:lock v:ext="edit"/>
                  </v:shape>
                  <v:shape id="_x0000_s2430" o:spid="_x0000_s2430" o:spt="202" type="#_x0000_t202" style="position:absolute;left:3190;top:13022;height:420;width:1320;" filled="f" stroked="f" coordsize="21600,21600">
                    <v:path/>
                    <v:fill on="f" focussize="0,0"/>
                    <v:stroke on="f" joinstyle="miter"/>
                    <v:imagedata o:title=""/>
                    <o:lock v:ext="edit"/>
                    <v:textbox>
                      <w:txbxContent>
                        <w:p>
                          <w:pPr>
                            <w:jc w:val="center"/>
                          </w:pPr>
                          <w:r>
                            <w:rPr>
                              <w:rFonts w:hint="eastAsia"/>
                            </w:rPr>
                            <w:t>损耗2.26</w:t>
                          </w:r>
                        </w:p>
                      </w:txbxContent>
                    </v:textbox>
                  </v:shape>
                  <v:shape id="_x0000_s2431" o:spid="_x0000_s2431" o:spt="32" type="#_x0000_t32" style="position:absolute;left:4314;top:13616;flip:y;height:19;width:1529;" filled="f" coordsize="21600,21600">
                    <v:path arrowok="t"/>
                    <v:fill on="f" focussize="0,0"/>
                    <v:stroke endarrow="block"/>
                    <v:imagedata o:title=""/>
                    <o:lock v:ext="edit"/>
                  </v:shape>
                  <v:shape id="_x0000_s2432" o:spid="_x0000_s2432" o:spt="32" type="#_x0000_t32" style="position:absolute;left:4302;top:14473;flip:y;height:0;width:1040;" filled="f" coordsize="21600,21600">
                    <v:path arrowok="t"/>
                    <v:fill on="f" focussize="0,0"/>
                    <v:stroke endarrow="block"/>
                    <v:imagedata o:title=""/>
                    <o:lock v:ext="edit"/>
                  </v:shape>
                  <v:shape id="_x0000_s2433" o:spid="_x0000_s2433" o:spt="202" type="#_x0000_t202" style="position:absolute;left:4377;top:14136;height:420;width:860;" filled="f" stroked="f" coordsize="21600,21600">
                    <v:path/>
                    <v:fill on="f" focussize="0,0"/>
                    <v:stroke on="f" joinstyle="miter"/>
                    <v:imagedata o:title=""/>
                    <o:lock v:ext="edit"/>
                    <v:textbox>
                      <w:txbxContent>
                        <w:p>
                          <w:pPr>
                            <w:jc w:val="center"/>
                          </w:pPr>
                          <w:r>
                            <w:rPr>
                              <w:rFonts w:hint="eastAsia"/>
                            </w:rPr>
                            <w:t>8</w:t>
                          </w:r>
                        </w:p>
                      </w:txbxContent>
                    </v:textbox>
                  </v:shape>
                  <v:shape id="_x0000_s2434" o:spid="_x0000_s2434" style="position:absolute;left:3127;top:13860;height:360;width:240;" filled="f" coordsize="405,360" path="m0,360c37,240,75,120,120,105c165,90,223,287,270,270c317,253,361,126,405,0e">
                    <v:path arrowok="t"/>
                    <v:fill on="f" focussize="0,0"/>
                    <v:stroke dashstyle="1 1" endarrow="block"/>
                    <v:imagedata o:title=""/>
                    <o:lock v:ext="edit"/>
                  </v:shape>
                  <v:shape id="_x0000_s2435" o:spid="_x0000_s2435" o:spt="202" type="#_x0000_t202" style="position:absolute;left:3164;top:13835;height:420;width:1320;" filled="f" stroked="f" coordsize="21600,21600">
                    <v:path/>
                    <v:fill on="f" focussize="0,0"/>
                    <v:stroke on="f" joinstyle="miter"/>
                    <v:imagedata o:title=""/>
                    <o:lock v:ext="edit"/>
                    <v:textbox>
                      <w:txbxContent>
                        <w:p>
                          <w:pPr>
                            <w:jc w:val="center"/>
                          </w:pPr>
                          <w:r>
                            <w:rPr>
                              <w:rFonts w:hint="eastAsia"/>
                            </w:rPr>
                            <w:t>损耗2</w:t>
                          </w:r>
                        </w:p>
                      </w:txbxContent>
                    </v:textbox>
                  </v:shape>
                  <v:shape id="_x0000_s2436" o:spid="_x0000_s2436" o:spt="32" type="#_x0000_t32" style="position:absolute;left:4314;top:12035;height:6;width:1529;" filled="f" coordsize="21600,21600">
                    <v:path arrowok="t"/>
                    <v:fill on="f" focussize="0,0"/>
                    <v:stroke endarrow="block"/>
                    <v:imagedata o:title=""/>
                    <o:lock v:ext="edit"/>
                  </v:shape>
                  <v:shape id="_x0000_s2437" o:spid="_x0000_s2437" o:spt="32" type="#_x0000_t32" style="position:absolute;left:5868;top:11565;height:13;width:688;" filled="f" coordsize="21600,21600">
                    <v:path arrowok="t"/>
                    <v:fill on="f" focussize="0,0"/>
                    <v:stroke endarrow="block"/>
                    <v:imagedata o:title=""/>
                    <o:lock v:ext="edit"/>
                  </v:shape>
                  <v:shape id="_x0000_s2438" o:spid="_x0000_s2438" o:spt="32" type="#_x0000_t32" style="position:absolute;left:7314;top:13248;height:560;width:0;" filled="f" coordsize="21600,21600">
                    <v:path arrowok="t"/>
                    <v:fill on="f" focussize="0,0"/>
                    <v:stroke endarrow="block"/>
                    <v:imagedata o:title=""/>
                    <o:lock v:ext="edit"/>
                  </v:shape>
                  <v:shape id="_x0000_s2439" o:spid="_x0000_s2439" o:spt="202" type="#_x0000_t202" style="position:absolute;left:1539;top:11860;height:320;width:700;" filled="f" stroked="f" coordsize="21600,21600">
                    <v:path/>
                    <v:fill on="f" focussize="0,0"/>
                    <v:stroke on="f" joinstyle="miter"/>
                    <v:imagedata o:title=""/>
                    <o:lock v:ext="edit"/>
                    <v:textbox inset="0.5mm,0.5mm,0.5mm,0.5mm">
                      <w:txbxContent>
                        <w:p>
                          <w:pPr>
                            <w:jc w:val="center"/>
                          </w:pPr>
                          <w:r>
                            <w:rPr>
                              <w:rFonts w:hint="eastAsia"/>
                            </w:rPr>
                            <w:t>31.87</w:t>
                          </w:r>
                        </w:p>
                      </w:txbxContent>
                    </v:textbox>
                  </v:shape>
                  <v:shape id="_x0000_s2440" o:spid="_x0000_s2440" o:spt="202" type="#_x0000_t202" style="position:absolute;left:1464;top:12335;height:332;width:862;" filled="f" stroked="f" coordsize="21600,21600">
                    <v:path/>
                    <v:fill on="f" focussize="0,0"/>
                    <v:stroke on="f" joinstyle="miter"/>
                    <v:imagedata o:title=""/>
                    <o:lock v:ext="edit"/>
                    <v:textbox inset="0.5mm,0.5mm,0.5mm,0.5mm">
                      <w:txbxContent>
                        <w:p>
                          <w:pPr>
                            <w:jc w:val="center"/>
                          </w:pPr>
                          <w:r>
                            <w:rPr>
                              <w:rFonts w:hint="eastAsia"/>
                            </w:rPr>
                            <w:t>新鲜水</w:t>
                          </w:r>
                        </w:p>
                      </w:txbxContent>
                    </v:textbox>
                  </v:shape>
                  <w10:wrap type="none"/>
                  <w10:anchorlock/>
                </v:group>
              </w:pict>
            </w:r>
          </w:p>
          <w:p>
            <w:pPr>
              <w:jc w:val="center"/>
              <w:rPr>
                <w:b/>
                <w:bCs/>
                <w:sz w:val="24"/>
                <w:szCs w:val="32"/>
              </w:rPr>
            </w:pPr>
            <w:r>
              <w:rPr>
                <w:b/>
                <w:bCs/>
                <w:sz w:val="24"/>
                <w:szCs w:val="32"/>
              </w:rPr>
              <w:t>图</w:t>
            </w:r>
            <w:r>
              <w:rPr>
                <w:rFonts w:hint="eastAsia"/>
                <w:b/>
                <w:bCs/>
                <w:sz w:val="24"/>
                <w:szCs w:val="32"/>
              </w:rPr>
              <w:t xml:space="preserve">2-1 </w:t>
            </w:r>
            <w:r>
              <w:rPr>
                <w:b/>
                <w:bCs/>
                <w:sz w:val="24"/>
                <w:szCs w:val="32"/>
              </w:rPr>
              <w:t xml:space="preserve"> </w:t>
            </w:r>
            <w:r>
              <w:rPr>
                <w:rFonts w:hint="eastAsia"/>
                <w:b/>
                <w:bCs/>
                <w:sz w:val="24"/>
                <w:szCs w:val="32"/>
              </w:rPr>
              <w:t>本</w:t>
            </w:r>
            <w:r>
              <w:rPr>
                <w:b/>
                <w:bCs/>
                <w:sz w:val="24"/>
                <w:szCs w:val="32"/>
              </w:rPr>
              <w:t>项目用水平衡图（单位：</w:t>
            </w:r>
            <w:r>
              <w:rPr>
                <w:b/>
                <w:sz w:val="24"/>
              </w:rPr>
              <w:t>m</w:t>
            </w:r>
            <w:r>
              <w:rPr>
                <w:b/>
                <w:sz w:val="24"/>
                <w:vertAlign w:val="superscript"/>
              </w:rPr>
              <w:t>3</w:t>
            </w:r>
            <w:r>
              <w:rPr>
                <w:b/>
                <w:bCs/>
                <w:sz w:val="24"/>
                <w:szCs w:val="32"/>
              </w:rPr>
              <w:t>/</w:t>
            </w:r>
            <w:r>
              <w:rPr>
                <w:rFonts w:hint="eastAsia"/>
                <w:b/>
                <w:bCs/>
                <w:sz w:val="24"/>
                <w:szCs w:val="32"/>
              </w:rPr>
              <w:t>d</w:t>
            </w:r>
            <w:r>
              <w:rPr>
                <w:b/>
                <w:bCs/>
                <w:sz w:val="24"/>
                <w:szCs w:val="32"/>
              </w:rPr>
              <w:t>）</w:t>
            </w:r>
          </w:p>
          <w:p>
            <w:pPr>
              <w:jc w:val="center"/>
              <w:rPr>
                <w:b/>
                <w:bCs/>
                <w:sz w:val="24"/>
                <w:szCs w:val="32"/>
              </w:rPr>
            </w:pPr>
          </w:p>
          <w:p>
            <w:pPr>
              <w:spacing w:line="360" w:lineRule="auto"/>
              <w:rPr>
                <w:b/>
                <w:sz w:val="24"/>
              </w:rPr>
            </w:pPr>
            <w:r>
              <w:rPr>
                <w:sz w:val="24"/>
              </w:rPr>
              <w:pict>
                <v:group id="_x0000_s2180" o:spid="_x0000_s2180" o:spt="203" style="height:398.6pt;width:381.45pt;" coordorigin="1406,9577" coordsize="7683,8028" editas="canvas">
                  <o:lock v:ext="edit"/>
                  <v:shape id="_x0000_s2181" o:spid="_x0000_s2181" o:spt="75" type="#_x0000_t75" style="position:absolute;left:1406;top:9577;height:8028;width:7683;" filled="f" stroked="f" coordsize="21600,21600">
                    <v:path/>
                    <v:fill on="f" focussize="0,0"/>
                    <v:stroke on="f"/>
                    <v:imagedata o:title=""/>
                    <o:lock v:ext="edit" text="t" aspectratio="f"/>
                  </v:shape>
                  <v:shape id="_x0000_s2182" o:spid="_x0000_s2182" o:spt="32" type="#_x0000_t32" style="position:absolute;left:1574;top:12816;flip:y;height:5;width:623;" filled="f" stroked="t" coordsize="21600,21600">
                    <v:path arrowok="t"/>
                    <v:fill on="f" focussize="0,0"/>
                    <v:stroke color="#000000" endarrow="block"/>
                    <v:imagedata o:title=""/>
                    <o:lock v:ext="edit" aspectratio="f"/>
                  </v:shape>
                  <v:shape id="_x0000_s2183" o:spid="_x0000_s2183" o:spt="202" type="#_x0000_t202" style="position:absolute;left:2647;top:10166;height:417;width:1617;" fillcolor="#FFFFFF" filled="t" stroked="t" coordsize="21600,21600">
                    <v:path/>
                    <v:fill on="t" color2="#FFFFFF" focussize="0,0"/>
                    <v:stroke color="#000000" joinstyle="miter"/>
                    <v:imagedata o:title=""/>
                    <o:lock v:ext="edit" aspectratio="f"/>
                    <v:textbox>
                      <w:txbxContent>
                        <w:p>
                          <w:pPr>
                            <w:jc w:val="center"/>
                          </w:pPr>
                          <w:r>
                            <w:rPr>
                              <w:rFonts w:hint="eastAsia"/>
                            </w:rPr>
                            <w:t>原料清洗用水</w:t>
                          </w:r>
                        </w:p>
                      </w:txbxContent>
                    </v:textbox>
                  </v:shape>
                  <v:shape id="_x0000_s2184" o:spid="_x0000_s2184" style="position:absolute;left:3299;top:9745;height:358;width:254;" filled="f" stroked="t" coordsize="405,360" path="m0,360c37,240,75,120,120,105c165,90,223,287,270,270c317,253,361,126,405,0e">
                    <v:path arrowok="t"/>
                    <v:fill on="f" focussize="0,0"/>
                    <v:stroke color="#000000" dashstyle="1 1" endarrow="block"/>
                    <v:imagedata o:title=""/>
                    <o:lock v:ext="edit" aspectratio="f"/>
                  </v:shape>
                  <v:shape id="_x0000_s2185" o:spid="_x0000_s2185" o:spt="202" type="#_x0000_t202" style="position:absolute;left:3425;top:9577;height:416;width:1311;" filled="f" stroked="f" coordsize="21600,21600">
                    <v:path/>
                    <v:fill on="f" focussize="0,0"/>
                    <v:stroke on="f"/>
                    <v:imagedata o:title=""/>
                    <o:lock v:ext="edit" aspectratio="f"/>
                    <v:textbox>
                      <w:txbxContent>
                        <w:p>
                          <w:pPr>
                            <w:jc w:val="center"/>
                          </w:pPr>
                          <w:r>
                            <w:rPr>
                              <w:rFonts w:hint="eastAsia"/>
                            </w:rPr>
                            <w:t>损耗0.14</w:t>
                          </w:r>
                        </w:p>
                      </w:txbxContent>
                    </v:textbox>
                  </v:shape>
                  <v:shape id="_x0000_s2188" o:spid="_x0000_s2188" o:spt="32" type="#_x0000_t32" style="position:absolute;left:4288;top:10376;height:2;width:2673;" filled="f" stroked="t" coordsize="21600,21600">
                    <v:path arrowok="t"/>
                    <v:fill on="f" focussize="0,0"/>
                    <v:stroke color="#000000" endarrow="block"/>
                    <v:imagedata o:title=""/>
                    <o:lock v:ext="edit" aspectratio="f"/>
                  </v:shape>
                  <v:shape id="_x0000_s2189" o:spid="_x0000_s2189" o:spt="202" type="#_x0000_t202" style="position:absolute;left:4330;top:10040;height:417;width:765;" filled="f" stroked="f" coordsize="21600,21600">
                    <v:path/>
                    <v:fill on="f" focussize="0,0"/>
                    <v:stroke on="f"/>
                    <v:imagedata o:title=""/>
                    <o:lock v:ext="edit" aspectratio="f"/>
                    <v:textbox>
                      <w:txbxContent>
                        <w:p>
                          <w:pPr>
                            <w:jc w:val="center"/>
                          </w:pPr>
                          <w:r>
                            <w:rPr>
                              <w:rFonts w:hint="eastAsia"/>
                            </w:rPr>
                            <w:t>0.53</w:t>
                          </w:r>
                        </w:p>
                      </w:txbxContent>
                    </v:textbox>
                  </v:shape>
                  <v:shape id="_x0000_s2190" o:spid="_x0000_s2190" o:spt="32" type="#_x0000_t32" style="position:absolute;left:6959;top:10355;flip:x y;height:5725;width:16;" filled="f" stroked="t" coordsize="21600,21600">
                    <v:path arrowok="t"/>
                    <v:fill on="f" focussize="0,0"/>
                    <v:stroke color="#000000"/>
                    <v:imagedata o:title=""/>
                    <o:lock v:ext="edit" aspectratio="f"/>
                  </v:shape>
                  <v:shape id="_x0000_s2191" o:spid="_x0000_s2191" o:spt="202" type="#_x0000_t202" style="position:absolute;left:7386;top:14730;height:416;width:1473;" fillcolor="#FFFFFF" filled="t" stroked="t" coordsize="21600,21600">
                    <v:path/>
                    <v:fill on="t" color2="#FFFFFF" focussize="0,0"/>
                    <v:stroke color="#000000" joinstyle="miter"/>
                    <v:imagedata o:title=""/>
                    <o:lock v:ext="edit" aspectratio="f"/>
                    <v:textbox>
                      <w:txbxContent>
                        <w:p>
                          <w:pPr>
                            <w:jc w:val="center"/>
                          </w:pPr>
                          <w:r>
                            <w:rPr>
                              <w:rFonts w:hint="eastAsia"/>
                            </w:rPr>
                            <w:t>污水处理站</w:t>
                          </w:r>
                        </w:p>
                      </w:txbxContent>
                    </v:textbox>
                  </v:shape>
                  <v:shape id="_x0000_s2192" o:spid="_x0000_s2192" o:spt="202" type="#_x0000_t202" style="position:absolute;left:2100;top:14099;height:336;width:700;" filled="f" stroked="f" coordsize="21600,21600">
                    <v:path/>
                    <v:fill on="f" focussize="0,0"/>
                    <v:stroke on="f"/>
                    <v:imagedata o:title=""/>
                    <o:lock v:ext="edit" aspectratio="f"/>
                    <v:textbox inset="0.5mm,0.5mm,0.5mm,0.5mm">
                      <w:txbxContent>
                        <w:p>
                          <w:pPr>
                            <w:jc w:val="center"/>
                            <w:rPr>
                              <w:rFonts w:hint="eastAsia" w:eastAsia="宋体"/>
                              <w:lang w:eastAsia="zh-CN"/>
                            </w:rPr>
                          </w:pPr>
                          <w:r>
                            <w:rPr>
                              <w:rFonts w:hint="eastAsia"/>
                            </w:rPr>
                            <w:t>1</w:t>
                          </w:r>
                          <w:r>
                            <w:rPr>
                              <w:rFonts w:hint="eastAsia"/>
                              <w:lang w:val="en-US" w:eastAsia="zh-CN"/>
                            </w:rPr>
                            <w:t>8</w:t>
                          </w:r>
                        </w:p>
                      </w:txbxContent>
                    </v:textbox>
                  </v:shape>
                  <v:shape id="_x0000_s2193" o:spid="_x0000_s2193" o:spt="202" type="#_x0000_t202" style="position:absolute;left:7214;top:15717;height:833;width:1862;" fillcolor="#FFFFFF" filled="t" stroked="t" coordsize="21600,21600">
                    <v:path/>
                    <v:fill on="t" color2="#FFFFFF" focussize="0,0"/>
                    <v:stroke color="#000000" joinstyle="miter"/>
                    <v:imagedata o:title=""/>
                    <o:lock v:ext="edit" aspectratio="f"/>
                    <v:textbox>
                      <w:txbxContent>
                        <w:p>
                          <w:pPr>
                            <w:jc w:val="center"/>
                          </w:pPr>
                          <w:r>
                            <w:rPr>
                              <w:rFonts w:hint="eastAsia"/>
                            </w:rPr>
                            <w:t>滁州市第二污水处理厂</w:t>
                          </w:r>
                        </w:p>
                      </w:txbxContent>
                    </v:textbox>
                  </v:shape>
                  <v:shape id="_x0000_s2194" o:spid="_x0000_s2194" o:spt="202" type="#_x0000_t202" style="position:absolute;left:7170;top:12987;height:335;width:699;" filled="f" stroked="f" coordsize="21600,21600">
                    <v:path/>
                    <v:fill on="f" focussize="0,0"/>
                    <v:stroke on="f"/>
                    <v:imagedata o:title=""/>
                    <o:lock v:ext="edit" aspectratio="f"/>
                    <v:textbox inset="0.5mm,0.5mm,0.5mm,0.5mm">
                      <w:txbxContent>
                        <w:p>
                          <w:pPr>
                            <w:jc w:val="center"/>
                            <w:rPr>
                              <w:rFonts w:hint="default" w:eastAsia="宋体"/>
                              <w:lang w:val="en-US" w:eastAsia="zh-CN"/>
                            </w:rPr>
                          </w:pPr>
                          <w:r>
                            <w:rPr>
                              <w:rFonts w:hint="eastAsia"/>
                              <w:lang w:val="en-US" w:eastAsia="zh-CN"/>
                            </w:rPr>
                            <w:t>47.2</w:t>
                          </w:r>
                        </w:p>
                      </w:txbxContent>
                    </v:textbox>
                  </v:shape>
                  <v:shape id="_x0000_s2200" o:spid="_x0000_s2200" o:spt="202" type="#_x0000_t202" style="position:absolute;left:7193;top:17100;height:356;width:1788;" filled="f" stroked="f" coordsize="21600,21600">
                    <v:path/>
                    <v:fill on="f" focussize="0,0"/>
                    <v:stroke on="f"/>
                    <v:imagedata o:title=""/>
                    <o:lock v:ext="edit" aspectratio="f"/>
                    <v:textbox inset="0.5mm,0.5mm,0.5mm,0.5mm">
                      <w:txbxContent>
                        <w:p>
                          <w:pPr>
                            <w:jc w:val="center"/>
                          </w:pPr>
                          <w:r>
                            <w:rPr>
                              <w:rFonts w:hint="eastAsia"/>
                            </w:rPr>
                            <w:t>排入清流河</w:t>
                          </w:r>
                        </w:p>
                      </w:txbxContent>
                    </v:textbox>
                  </v:shape>
                  <v:shape id="_x0000_s2201" o:spid="_x0000_s2201" o:spt="202" type="#_x0000_t202" style="position:absolute;left:2647;top:11049;height:418;width:1617;" fillcolor="#FFFFFF" filled="t" stroked="t" coordsize="21600,21600">
                    <v:path/>
                    <v:fill on="t" color2="#FFFFFF" focussize="0,0"/>
                    <v:stroke color="#000000" joinstyle="miter"/>
                    <v:imagedata o:title=""/>
                    <o:lock v:ext="edit" aspectratio="f"/>
                    <v:textbox>
                      <w:txbxContent>
                        <w:p>
                          <w:pPr>
                            <w:jc w:val="center"/>
                          </w:pPr>
                          <w:r>
                            <w:rPr>
                              <w:rFonts w:hint="eastAsia"/>
                            </w:rPr>
                            <w:t>设备清洗用水</w:t>
                          </w:r>
                        </w:p>
                      </w:txbxContent>
                    </v:textbox>
                  </v:shape>
                  <v:shape id="_x0000_s2202" o:spid="_x0000_s2202" o:spt="202" type="#_x0000_t202" style="position:absolute;left:2647;top:14205;height:416;width:1617;" fillcolor="#FFFFFF" filled="t" stroked="t" coordsize="21600,21600">
                    <v:path/>
                    <v:fill on="t" color2="#FFFFFF" focussize="0,0"/>
                    <v:stroke color="#000000" joinstyle="miter"/>
                    <v:imagedata o:title=""/>
                    <o:lock v:ext="edit" aspectratio="f"/>
                    <v:textbox>
                      <w:txbxContent>
                        <w:p>
                          <w:pPr>
                            <w:jc w:val="center"/>
                          </w:pPr>
                          <w:r>
                            <w:rPr>
                              <w:rFonts w:hint="eastAsia"/>
                            </w:rPr>
                            <w:t>生活用水</w:t>
                          </w:r>
                        </w:p>
                      </w:txbxContent>
                    </v:textbox>
                  </v:shape>
                  <v:shape id="_x0000_s2204" o:spid="_x0000_s2204" o:spt="202" type="#_x0000_t202" style="position:absolute;left:4814;top:14226;height:416;width:1473;" fillcolor="#FFFFFF" filled="t" stroked="t" coordsize="21600,21600">
                    <v:path/>
                    <v:fill on="t" color2="#FFFFFF" focussize="0,0"/>
                    <v:stroke color="#000000" joinstyle="miter"/>
                    <v:imagedata o:title=""/>
                    <o:lock v:ext="edit" aspectratio="f"/>
                    <v:textbox>
                      <w:txbxContent>
                        <w:p>
                          <w:pPr>
                            <w:jc w:val="center"/>
                          </w:pPr>
                          <w:r>
                            <w:rPr>
                              <w:rFonts w:hint="eastAsia"/>
                            </w:rPr>
                            <w:t>化粪池</w:t>
                          </w:r>
                        </w:p>
                      </w:txbxContent>
                    </v:textbox>
                  </v:shape>
                  <v:shape id="_x0000_s2252" o:spid="_x0000_s2252" o:spt="32" type="#_x0000_t32" style="position:absolute;left:4288;top:11260;height:4;width:2712;" filled="f" stroked="t" coordsize="21600,21600">
                    <v:path arrowok="t"/>
                    <v:fill on="f" focussize="0,0"/>
                    <v:stroke color="#000000" endarrow="block"/>
                    <v:imagedata o:title=""/>
                    <o:lock v:ext="edit" aspectratio="f"/>
                  </v:shape>
                  <v:shape id="_x0000_s2255" o:spid="_x0000_s2255" o:spt="32" type="#_x0000_t32" style="position:absolute;left:2205;top:10376;height:5057;width:1;" filled="f" stroked="t" coordsize="21600,21600">
                    <v:path arrowok="t"/>
                    <v:fill on="f" focussize="0,0"/>
                    <v:stroke color="#000000"/>
                    <v:imagedata o:title=""/>
                    <o:lock v:ext="edit" aspectratio="f"/>
                  </v:shape>
                  <v:shape id="_x0000_s2256" o:spid="_x0000_s2256" o:spt="32" type="#_x0000_t32" style="position:absolute;left:2205;top:10376;height:1;width:446;" filled="f" stroked="t" coordsize="21600,21600">
                    <v:path arrowok="t"/>
                    <v:fill on="f" focussize="0,0"/>
                    <v:stroke color="#000000"/>
                    <v:imagedata o:title=""/>
                    <o:lock v:ext="edit" aspectratio="f"/>
                  </v:shape>
                  <v:shape id="_x0000_s2257" o:spid="_x0000_s2257" o:spt="32" type="#_x0000_t32" style="position:absolute;left:2205;top:12017;height:1;width:447;" filled="f" stroked="t" coordsize="21600,21600">
                    <v:path arrowok="t"/>
                    <v:fill on="f" focussize="0,0"/>
                    <v:stroke color="#000000"/>
                    <v:imagedata o:title=""/>
                    <o:lock v:ext="edit" aspectratio="f"/>
                  </v:shape>
                  <v:shape id="_x0000_s2258" o:spid="_x0000_s2258" o:spt="32" type="#_x0000_t32" style="position:absolute;left:2205;top:11197;flip:y;height:8;width:445;" filled="f" stroked="t" coordsize="21600,21600">
                    <v:path arrowok="t"/>
                    <v:fill on="f" focussize="0,0"/>
                    <v:stroke color="#000000"/>
                    <v:imagedata o:title=""/>
                    <o:lock v:ext="edit" aspectratio="f"/>
                  </v:shape>
                  <v:shape id="_x0000_s2259" o:spid="_x0000_s2259" style="position:absolute;left:3299;top:10650;height:356;width:254;" filled="f" stroked="t" coordsize="405,360" path="m0,360c37,240,75,120,120,105c165,90,223,287,270,270c317,253,361,126,405,0e">
                    <v:path arrowok="t"/>
                    <v:fill on="f" focussize="0,0"/>
                    <v:stroke color="#000000" dashstyle="1 1" endarrow="block"/>
                    <v:imagedata o:title=""/>
                    <o:lock v:ext="edit" aspectratio="f"/>
                  </v:shape>
                  <v:shape id="_x0000_s2261" o:spid="_x0000_s2261" style="position:absolute;left:3299;top:11449;height:358;width:254;" filled="f" stroked="t" coordsize="405,360" path="m0,360c37,240,75,120,120,105c165,90,223,287,270,270c317,253,361,126,405,0e">
                    <v:path arrowok="t"/>
                    <v:fill on="f" focussize="0,0"/>
                    <v:stroke color="#000000" dashstyle="1 1" endarrow="block"/>
                    <v:imagedata o:title=""/>
                    <o:lock v:ext="edit" aspectratio="f"/>
                  </v:shape>
                  <v:shape id="_x0000_s2276" o:spid="_x0000_s2276" o:spt="202" type="#_x0000_t202" style="position:absolute;left:3425;top:10587;height:416;width:1311;" filled="f" stroked="f" coordsize="21600,21600">
                    <v:path/>
                    <v:fill on="f" focussize="0,0"/>
                    <v:stroke on="f"/>
                    <v:imagedata o:title=""/>
                    <o:lock v:ext="edit" aspectratio="f"/>
                    <v:textbox>
                      <w:txbxContent>
                        <w:p>
                          <w:pPr>
                            <w:jc w:val="center"/>
                            <w:rPr>
                              <w:rFonts w:hint="eastAsia" w:eastAsia="宋体"/>
                              <w:lang w:eastAsia="zh-CN"/>
                            </w:rPr>
                          </w:pPr>
                          <w:r>
                            <w:rPr>
                              <w:rFonts w:hint="eastAsia"/>
                            </w:rPr>
                            <w:t>损耗0.</w:t>
                          </w:r>
                          <w:r>
                            <w:rPr>
                              <w:rFonts w:hint="eastAsia"/>
                              <w:lang w:val="en-US" w:eastAsia="zh-CN"/>
                            </w:rPr>
                            <w:t>6</w:t>
                          </w:r>
                        </w:p>
                      </w:txbxContent>
                    </v:textbox>
                  </v:shape>
                  <v:shape id="_x0000_s2279" o:spid="_x0000_s2279" o:spt="202" type="#_x0000_t202" style="position:absolute;left:3383;top:11386;height:417;width:1311;" filled="f" stroked="f" coordsize="21600,21600">
                    <v:path/>
                    <v:fill on="f" focussize="0,0"/>
                    <v:stroke on="f"/>
                    <v:imagedata o:title=""/>
                    <o:lock v:ext="edit" aspectratio="f"/>
                    <v:textbox>
                      <w:txbxContent>
                        <w:p>
                          <w:pPr>
                            <w:jc w:val="center"/>
                            <w:rPr>
                              <w:rFonts w:hint="eastAsia" w:eastAsia="宋体"/>
                              <w:lang w:eastAsia="zh-CN"/>
                            </w:rPr>
                          </w:pPr>
                          <w:r>
                            <w:rPr>
                              <w:rFonts w:hint="eastAsia"/>
                            </w:rPr>
                            <w:t>损耗0.</w:t>
                          </w:r>
                          <w:r>
                            <w:rPr>
                              <w:rFonts w:hint="eastAsia"/>
                              <w:lang w:val="en-US" w:eastAsia="zh-CN"/>
                            </w:rPr>
                            <w:t>6</w:t>
                          </w:r>
                        </w:p>
                      </w:txbxContent>
                    </v:textbox>
                  </v:shape>
                  <v:shape id="_x0000_s2303" o:spid="_x0000_s2303" o:spt="32" type="#_x0000_t32" style="position:absolute;left:8122;top:15163;height:576;width:7;" filled="f" stroked="t" coordsize="21600,21600">
                    <v:path arrowok="t"/>
                    <v:fill on="f" focussize="0,0"/>
                    <v:stroke color="#000000" endarrow="block"/>
                    <v:imagedata o:title=""/>
                    <o:lock v:ext="edit" aspectratio="f"/>
                  </v:shape>
                  <v:shape id="_x0000_s2305" o:spid="_x0000_s2305" o:spt="202" type="#_x0000_t202" style="position:absolute;left:2016;top:12438;height:417;width:863;" filled="f" stroked="f" coordsize="21600,21600">
                    <v:path/>
                    <v:fill on="f" focussize="0,0"/>
                    <v:stroke on="f"/>
                    <v:imagedata o:title=""/>
                    <o:lock v:ext="edit" aspectratio="f"/>
                    <v:textbox>
                      <w:txbxContent>
                        <w:p>
                          <w:pPr>
                            <w:jc w:val="center"/>
                          </w:pPr>
                          <w:r>
                            <w:rPr>
                              <w:rFonts w:hint="eastAsia"/>
                            </w:rPr>
                            <w:t>0.07</w:t>
                          </w:r>
                        </w:p>
                      </w:txbxContent>
                    </v:textbox>
                  </v:shape>
                  <v:shape id="_x0000_s2308" o:spid="_x0000_s2308" o:spt="202" type="#_x0000_t202" style="position:absolute;left:1953;top:9998;height:417;width:862;" filled="f" stroked="f" coordsize="21600,21600">
                    <v:path/>
                    <v:fill on="f" focussize="0,0"/>
                    <v:stroke on="f"/>
                    <v:imagedata o:title=""/>
                    <o:lock v:ext="edit" aspectratio="f"/>
                    <v:textbox>
                      <w:txbxContent>
                        <w:p>
                          <w:pPr>
                            <w:jc w:val="center"/>
                          </w:pPr>
                          <w:r>
                            <w:rPr>
                              <w:rFonts w:hint="eastAsia"/>
                            </w:rPr>
                            <w:t>0.67</w:t>
                          </w:r>
                        </w:p>
                      </w:txbxContent>
                    </v:textbox>
                  </v:shape>
                  <v:shape id="_x0000_s2309" o:spid="_x0000_s2309" o:spt="202" type="#_x0000_t202" style="position:absolute;left:2016;top:10839;height:417;width:863;"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lang w:val="en-US" w:eastAsia="zh-CN"/>
                            </w:rPr>
                            <w:t>9.6</w:t>
                          </w:r>
                        </w:p>
                      </w:txbxContent>
                    </v:textbox>
                  </v:shape>
                  <v:shape id="_x0000_s2313" o:spid="_x0000_s2313" o:spt="202" type="#_x0000_t202" style="position:absolute;left:2016;top:11723;height:416;width:863;"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lang w:val="en-US" w:eastAsia="zh-CN"/>
                            </w:rPr>
                            <w:t>9.2</w:t>
                          </w:r>
                        </w:p>
                      </w:txbxContent>
                    </v:textbox>
                  </v:shape>
                  <v:shape id="_x0000_s2315" o:spid="_x0000_s2315" o:spt="202" type="#_x0000_t202" style="position:absolute;left:4393;top:10944;height:418;width:702;"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lang w:val="en-US" w:eastAsia="zh-CN"/>
                            </w:rPr>
                            <w:t>9.0</w:t>
                          </w:r>
                        </w:p>
                      </w:txbxContent>
                    </v:textbox>
                  </v:shape>
                  <v:shape id="_x0000_s2316" o:spid="_x0000_s2316" o:spt="202" type="#_x0000_t202" style="position:absolute;left:4435;top:11659;height:417;width:864;"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lang w:val="en-US" w:eastAsia="zh-CN"/>
                            </w:rPr>
                            <w:t>8.6</w:t>
                          </w:r>
                        </w:p>
                      </w:txbxContent>
                    </v:textbox>
                  </v:shape>
                  <v:shape id="_x0000_s2317" o:spid="_x0000_s2317" o:spt="202" type="#_x0000_t202" style="position:absolute;left:1995;top:13237;height:416;width:864;" filled="f" stroked="f" coordsize="21600,21600">
                    <v:path/>
                    <v:fill on="f" focussize="0,0"/>
                    <v:stroke on="f"/>
                    <v:imagedata o:title=""/>
                    <o:lock v:ext="edit" aspectratio="f"/>
                    <v:textbox>
                      <w:txbxContent>
                        <w:p>
                          <w:pPr>
                            <w:jc w:val="center"/>
                          </w:pPr>
                          <w:r>
                            <w:rPr>
                              <w:rFonts w:hint="eastAsia"/>
                            </w:rPr>
                            <w:t>1</w:t>
                          </w:r>
                          <w:r>
                            <w:rPr>
                              <w:rFonts w:hint="eastAsia"/>
                              <w:lang w:val="en-US" w:eastAsia="zh-CN"/>
                            </w:rPr>
                            <w:t>2</w:t>
                          </w:r>
                          <w:r>
                            <w:rPr>
                              <w:rFonts w:hint="eastAsia"/>
                            </w:rPr>
                            <w:t>.33</w:t>
                          </w:r>
                        </w:p>
                      </w:txbxContent>
                    </v:textbox>
                  </v:shape>
                  <v:shape id="_x0000_s2318" o:spid="_x0000_s2318" o:spt="202" type="#_x0000_t202" style="position:absolute;left:4267;top:13279;height:417;width:864;" filled="f" stroked="f" coordsize="21600,21600">
                    <v:path/>
                    <v:fill on="f" focussize="0,0"/>
                    <v:stroke on="f"/>
                    <v:imagedata o:title=""/>
                    <o:lock v:ext="edit" aspectratio="f"/>
                    <v:textbox>
                      <w:txbxContent>
                        <w:p>
                          <w:pPr>
                            <w:jc w:val="center"/>
                          </w:pPr>
                          <w:r>
                            <w:rPr>
                              <w:rFonts w:hint="eastAsia"/>
                            </w:rPr>
                            <w:t>9.</w:t>
                          </w:r>
                          <w:r>
                            <w:rPr>
                              <w:rFonts w:hint="eastAsia"/>
                              <w:lang w:val="en-US" w:eastAsia="zh-CN"/>
                            </w:rPr>
                            <w:t>9</w:t>
                          </w:r>
                          <w:r>
                            <w:rPr>
                              <w:rFonts w:hint="eastAsia"/>
                            </w:rPr>
                            <w:t>7</w:t>
                          </w:r>
                        </w:p>
                      </w:txbxContent>
                    </v:textbox>
                  </v:shape>
                  <v:shape id="_x0000_s2319" o:spid="_x0000_s2319" o:spt="202" type="#_x0000_t202" style="position:absolute;left:2668;top:11807;height:416;width:1608;" fillcolor="#FFFFFF" filled="t" stroked="t" coordsize="21600,21600">
                    <v:path/>
                    <v:fill on="t" color2="#FFFFFF" focussize="0,0"/>
                    <v:stroke color="#000000" joinstyle="miter"/>
                    <v:imagedata o:title=""/>
                    <o:lock v:ext="edit" aspectratio="f"/>
                    <v:textbox>
                      <w:txbxContent>
                        <w:p>
                          <w:pPr>
                            <w:jc w:val="center"/>
                          </w:pPr>
                          <w:r>
                            <w:rPr>
                              <w:rFonts w:hint="eastAsia"/>
                            </w:rPr>
                            <w:t>地面冲洗用水</w:t>
                          </w:r>
                        </w:p>
                      </w:txbxContent>
                    </v:textbox>
                  </v:shape>
                  <v:shape id="_x0000_s2321" o:spid="_x0000_s2321" o:spt="32" type="#_x0000_t32" style="position:absolute;left:2205;top:13595;flip:y;height:0;width:436;" filled="f" stroked="t" coordsize="21600,21600">
                    <v:path arrowok="t"/>
                    <v:fill on="f" focussize="0,0"/>
                    <v:stroke color="#000000"/>
                    <v:imagedata o:title=""/>
                    <o:lock v:ext="edit" aspectratio="f"/>
                  </v:shape>
                  <v:shape id="_x0000_s2322" o:spid="_x0000_s2322" o:spt="32" type="#_x0000_t32" style="position:absolute;left:2205;top:12795;flip:y;height:0;width:436;" filled="f" stroked="t" coordsize="21600,21600">
                    <v:path arrowok="t"/>
                    <v:fill on="f" focussize="0,0"/>
                    <v:stroke color="#000000"/>
                    <v:imagedata o:title=""/>
                    <o:lock v:ext="edit" aspectratio="f"/>
                  </v:shape>
                  <v:shape id="_x0000_s2323" o:spid="_x0000_s2323" o:spt="202" type="#_x0000_t202" style="position:absolute;left:2668;top:12564;height:417;width:1608;" fillcolor="#FFFFFF" filled="t" stroked="t" coordsize="21600,21600">
                    <v:path/>
                    <v:fill on="t" color2="#FFFFFF" focussize="0,0"/>
                    <v:stroke color="#000000" joinstyle="miter"/>
                    <v:imagedata o:title=""/>
                    <o:lock v:ext="edit" aspectratio="f"/>
                    <v:textbox>
                      <w:txbxContent>
                        <w:p>
                          <w:pPr>
                            <w:jc w:val="center"/>
                          </w:pPr>
                          <w:r>
                            <w:rPr>
                              <w:rFonts w:hint="eastAsia"/>
                            </w:rPr>
                            <w:t>熬糖浆用水</w:t>
                          </w:r>
                        </w:p>
                      </w:txbxContent>
                    </v:textbox>
                  </v:shape>
                  <v:shape id="_x0000_s2324" o:spid="_x0000_s2324" o:spt="32" type="#_x0000_t32" style="position:absolute;left:4288;top:12753;flip:y;height:5;width:488;" filled="f" stroked="t" coordsize="21600,21600">
                    <v:path arrowok="t"/>
                    <v:fill on="f" focussize="0,0"/>
                    <v:stroke color="#000000" endarrow="block"/>
                    <v:imagedata o:title=""/>
                    <o:lock v:ext="edit" aspectratio="f"/>
                  </v:shape>
                  <v:shape id="_x0000_s2336" o:spid="_x0000_s2336" o:spt="202" type="#_x0000_t202" style="position:absolute;left:4666;top:12606;height:358;width:1080;" filled="f" stroked="f" coordsize="21600,21600">
                    <v:path/>
                    <v:fill on="f" focussize="0,0"/>
                    <v:stroke on="f"/>
                    <v:imagedata o:title=""/>
                    <o:lock v:ext="edit" aspectratio="f"/>
                    <v:textbox inset="0.5mm,0.5mm,0.5mm,0.5mm">
                      <w:txbxContent>
                        <w:p>
                          <w:pPr>
                            <w:jc w:val="center"/>
                          </w:pPr>
                          <w:r>
                            <w:rPr>
                              <w:rFonts w:hint="eastAsia"/>
                            </w:rPr>
                            <w:t>进入产品</w:t>
                          </w:r>
                        </w:p>
                      </w:txbxContent>
                    </v:textbox>
                  </v:shape>
                  <v:shape id="_x0000_s2337" o:spid="_x0000_s2337" o:spt="32" type="#_x0000_t32" style="position:absolute;left:2205;top:14373;flip:y;height:0;width:436;" filled="f" stroked="t" coordsize="21600,21600">
                    <v:path arrowok="t"/>
                    <v:fill on="f" focussize="0,0"/>
                    <v:stroke color="#000000"/>
                    <v:imagedata o:title=""/>
                    <o:lock v:ext="edit" aspectratio="f"/>
                  </v:shape>
                  <v:shape id="_x0000_s2338" o:spid="_x0000_s2338" o:spt="202" type="#_x0000_t202" style="position:absolute;left:2668;top:13384;height:418;width:1608;" fillcolor="#FFFFFF" filled="t" stroked="t" coordsize="21600,21600">
                    <v:path/>
                    <v:fill on="t" color2="#FFFFFF" focussize="0,0"/>
                    <v:stroke color="#000000" joinstyle="miter"/>
                    <v:imagedata o:title=""/>
                    <o:lock v:ext="edit" aspectratio="f"/>
                    <v:textbox>
                      <w:txbxContent>
                        <w:p>
                          <w:pPr>
                            <w:jc w:val="center"/>
                          </w:pPr>
                          <w:r>
                            <w:rPr>
                              <w:rFonts w:hint="eastAsia"/>
                            </w:rPr>
                            <w:t>煮料用水</w:t>
                          </w:r>
                        </w:p>
                      </w:txbxContent>
                    </v:textbox>
                  </v:shape>
                  <v:shape id="_x0000_s2339" o:spid="_x0000_s2339" style="position:absolute;left:3131;top:13006;height:356;width:239;" filled="f" stroked="t" coordsize="405,360" path="m0,360c37,240,75,120,120,105c165,90,223,287,270,270c317,253,361,126,405,0e">
                    <v:path arrowok="t"/>
                    <v:fill on="f" focussize="0,0"/>
                    <v:stroke color="#000000" dashstyle="1 1" endarrow="block"/>
                    <v:imagedata o:title=""/>
                    <o:lock v:ext="edit" aspectratio="f"/>
                  </v:shape>
                  <v:shape id="_x0000_s2340" o:spid="_x0000_s2340" o:spt="202" type="#_x0000_t202" style="position:absolute;left:3152;top:12964;height:416;width:1310;" filled="f" stroked="f" coordsize="21600,21600">
                    <v:path/>
                    <v:fill on="f" focussize="0,0"/>
                    <v:stroke on="f"/>
                    <v:imagedata o:title=""/>
                    <o:lock v:ext="edit" aspectratio="f"/>
                    <v:textbox>
                      <w:txbxContent>
                        <w:p>
                          <w:pPr>
                            <w:jc w:val="center"/>
                          </w:pPr>
                          <w:r>
                            <w:rPr>
                              <w:rFonts w:hint="eastAsia"/>
                            </w:rPr>
                            <w:t>损耗2.</w:t>
                          </w:r>
                          <w:r>
                            <w:rPr>
                              <w:rFonts w:hint="eastAsia"/>
                              <w:lang w:val="en-US" w:eastAsia="zh-CN"/>
                            </w:rPr>
                            <w:t>3</w:t>
                          </w:r>
                          <w:r>
                            <w:rPr>
                              <w:rFonts w:hint="eastAsia"/>
                            </w:rPr>
                            <w:t>6</w:t>
                          </w:r>
                        </w:p>
                      </w:txbxContent>
                    </v:textbox>
                  </v:shape>
                  <v:shape id="_x0000_s2350" o:spid="_x0000_s2350" o:spt="32" type="#_x0000_t32" style="position:absolute;left:4288;top:13574;flip:y;height:11;width:2684;" filled="f" stroked="t" coordsize="21600,21600">
                    <v:path arrowok="t"/>
                    <v:fill on="f" focussize="0,0"/>
                    <v:stroke color="#000000" endarrow="block"/>
                    <v:imagedata o:title=""/>
                    <o:lock v:ext="edit" aspectratio="f"/>
                  </v:shape>
                  <v:shape id="_x0000_s2351" o:spid="_x0000_s2351" o:spt="32" type="#_x0000_t32" style="position:absolute;left:4267;top:14415;height:8;width:583;" filled="f" stroked="t" coordsize="21600,21600">
                    <v:path arrowok="t"/>
                    <v:fill on="f" focussize="0,0"/>
                    <v:stroke color="#000000" endarrow="block"/>
                    <v:imagedata o:title=""/>
                    <o:lock v:ext="edit" aspectratio="f"/>
                  </v:shape>
                  <v:shape id="_x0000_s2354" o:spid="_x0000_s2354" o:spt="202" type="#_x0000_t202" style="position:absolute;left:4106;top:14057;height:417;width:854;"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lang w:val="en-US" w:eastAsia="zh-CN"/>
                            </w:rPr>
                            <w:t>14.2</w:t>
                          </w:r>
                        </w:p>
                      </w:txbxContent>
                    </v:textbox>
                  </v:shape>
                  <v:shape id="_x0000_s2356" o:spid="_x0000_s2356" style="position:absolute;left:3089;top:13805;height:357;width:239;" filled="f" stroked="t" coordsize="405,360" path="m0,360c37,240,75,120,120,105c165,90,223,287,270,270c317,253,361,126,405,0e">
                    <v:path arrowok="t"/>
                    <v:fill on="f" focussize="0,0"/>
                    <v:stroke color="#000000" dashstyle="1 1" endarrow="block"/>
                    <v:imagedata o:title=""/>
                    <o:lock v:ext="edit" aspectratio="f"/>
                  </v:shape>
                  <v:shape id="_x0000_s2360" o:spid="_x0000_s2360" o:spt="202" type="#_x0000_t202" style="position:absolute;left:3131;top:13784;height:417;width:1310;"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rPr>
                            <w:t>损耗</w:t>
                          </w:r>
                          <w:r>
                            <w:rPr>
                              <w:rFonts w:hint="eastAsia"/>
                              <w:lang w:val="en-US" w:eastAsia="zh-CN"/>
                            </w:rPr>
                            <w:t>3.8</w:t>
                          </w:r>
                        </w:p>
                      </w:txbxContent>
                    </v:textbox>
                  </v:shape>
                  <v:shape id="_x0000_s2362" o:spid="_x0000_s2362" o:spt="32" type="#_x0000_t32" style="position:absolute;left:4288;top:11996;height:6;width:2696;" filled="f" stroked="t" coordsize="21600,21600">
                    <v:path arrowok="t"/>
                    <v:fill on="f" focussize="0,0"/>
                    <v:stroke color="#000000" endarrow="block"/>
                    <v:imagedata o:title=""/>
                    <o:lock v:ext="edit" aspectratio="f"/>
                  </v:shape>
                  <v:shape id="_x0000_s2441" o:spid="_x0000_s2441" o:spt="34" type="#_x0000_t34" style="position:absolute;left:6843;top:13445;flip:y;height:1144;width:1432;rotation:-5898240f;" filled="f" stroked="t" coordsize="21600,21600" adj="46">
                    <v:path arrowok="t"/>
                    <v:fill on="f" focussize="0,0"/>
                    <v:stroke color="#000000" endarrow="block"/>
                    <v:imagedata o:title=""/>
                    <o:lock v:ext="edit" aspectratio="f"/>
                  </v:shape>
                  <v:shape id="_x0000_s2442" o:spid="_x0000_s2442" o:spt="32" type="#_x0000_t32" style="position:absolute;left:8137;top:16553;height:556;width:0;" filled="f" stroked="t" coordsize="21600,21600">
                    <v:path arrowok="t"/>
                    <v:fill on="f" focussize="0,0"/>
                    <v:stroke color="#000000" endarrow="block"/>
                    <v:imagedata o:title=""/>
                    <o:lock v:ext="edit" aspectratio="f"/>
                  </v:shape>
                  <v:shape id="_x0000_s2443" o:spid="_x0000_s2443" o:spt="202" type="#_x0000_t202" style="position:absolute;left:1511;top:12445;height:321;width:695;" filled="f" stroked="f" coordsize="21600,21600">
                    <v:path/>
                    <v:fill on="f" focussize="0,0"/>
                    <v:stroke on="f"/>
                    <v:imagedata o:title=""/>
                    <o:lock v:ext="edit" aspectratio="f"/>
                    <v:textbox inset="0.5mm,0.5mm,0.5mm,0.5mm">
                      <w:txbxContent>
                        <w:p>
                          <w:pPr>
                            <w:jc w:val="center"/>
                          </w:pPr>
                          <w:r>
                            <w:rPr>
                              <w:rFonts w:hint="eastAsia"/>
                              <w:lang w:val="en-US" w:eastAsia="zh-CN"/>
                            </w:rPr>
                            <w:t>54</w:t>
                          </w:r>
                          <w:r>
                            <w:rPr>
                              <w:rFonts w:hint="eastAsia"/>
                            </w:rPr>
                            <w:t>.87</w:t>
                          </w:r>
                        </w:p>
                      </w:txbxContent>
                    </v:textbox>
                  </v:shape>
                  <v:shape id="_x0000_s2444" o:spid="_x0000_s2444" o:spt="202" type="#_x0000_t202" style="position:absolute;left:1419;top:12896;height:330;width:856;" filled="f" stroked="f" coordsize="21600,21600">
                    <v:path/>
                    <v:fill on="f" focussize="0,0"/>
                    <v:stroke on="f"/>
                    <v:imagedata o:title=""/>
                    <o:lock v:ext="edit" aspectratio="f"/>
                    <v:textbox inset="0.5mm,0.5mm,0.5mm,0.5mm">
                      <w:txbxContent>
                        <w:p>
                          <w:pPr>
                            <w:jc w:val="center"/>
                          </w:pPr>
                          <w:r>
                            <w:rPr>
                              <w:rFonts w:hint="eastAsia"/>
                            </w:rPr>
                            <w:t>新鲜水</w:t>
                          </w:r>
                        </w:p>
                      </w:txbxContent>
                    </v:textbox>
                  </v:shape>
                  <v:shape id="_x0000_s2445" o:spid="_x0000_s2445" o:spt="32" type="#_x0000_t32" style="position:absolute;left:2226;top:15446;height:0;width:436;" filled="f" stroked="t" coordsize="21600,21600">
                    <v:path arrowok="t"/>
                    <v:fill on="f" focussize="0,0"/>
                    <v:stroke color="#000000"/>
                    <v:imagedata o:title=""/>
                    <o:lock v:ext="edit" aspectratio="f"/>
                  </v:shape>
                  <v:shape id="_x0000_s2446" o:spid="_x0000_s2446" o:spt="202" type="#_x0000_t202" style="position:absolute;left:2668;top:15256;height:418;width:1608;"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纯水制备</w:t>
                          </w:r>
                        </w:p>
                      </w:txbxContent>
                    </v:textbox>
                  </v:shape>
                  <v:shape id="_x0000_s2447" o:spid="_x0000_s2447" o:spt="202" type="#_x0000_t202" style="position:absolute;left:2142;top:15109;height:318;width:694;" filled="f" stroked="f" coordsize="21600,21600">
                    <v:path/>
                    <v:fill on="f" focussize="0,0"/>
                    <v:stroke on="f"/>
                    <v:imagedata o:title=""/>
                    <o:lock v:ext="edit" aspectratio="f"/>
                    <v:textbox inset="0.5mm,0.5mm,0.5mm,0.5mm">
                      <w:txbxContent>
                        <w:p>
                          <w:pPr>
                            <w:jc w:val="center"/>
                            <w:rPr>
                              <w:rFonts w:hint="eastAsia" w:eastAsia="宋体"/>
                              <w:lang w:val="en-US" w:eastAsia="zh-CN"/>
                            </w:rPr>
                          </w:pPr>
                          <w:r>
                            <w:rPr>
                              <w:rFonts w:hint="eastAsia"/>
                              <w:lang w:val="en-US" w:eastAsia="zh-CN"/>
                            </w:rPr>
                            <w:t>5</w:t>
                          </w:r>
                        </w:p>
                      </w:txbxContent>
                    </v:textbox>
                  </v:shape>
                  <v:shape id="_x0000_s2448" o:spid="_x0000_s2448" o:spt="32" type="#_x0000_t32" style="position:absolute;left:4288;top:15446;height:6;width:809;" filled="f" stroked="t" coordsize="21600,21600">
                    <v:path arrowok="t"/>
                    <v:fill on="f" focussize="0,0"/>
                    <v:stroke color="#000000" endarrow="block"/>
                    <v:imagedata o:title=""/>
                    <o:lock v:ext="edit" aspectratio="f"/>
                  </v:shape>
                  <v:shape id="_x0000_s2449" o:spid="_x0000_s2449" o:spt="202" type="#_x0000_t202" style="position:absolute;left:4183;top:15130;height:418;width:854;"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lang w:val="en-US" w:eastAsia="zh-CN"/>
                            </w:rPr>
                            <w:t>3.5</w:t>
                          </w:r>
                        </w:p>
                      </w:txbxContent>
                    </v:textbox>
                  </v:shape>
                  <v:shape id="_x0000_s2450" o:spid="_x0000_s2450" o:spt="202" type="#_x0000_t202" style="position:absolute;left:5066;top:15256;height:418;width:1469;"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蒸汽锅炉</w:t>
                          </w:r>
                        </w:p>
                      </w:txbxContent>
                    </v:textbox>
                  </v:shape>
                  <v:shape id="_x0000_s2451" o:spid="_x0000_s2451" style="position:absolute;left:5424;top:14878;height:357;width:237;" filled="f" stroked="t" coordsize="405,360" path="m0,360c37,240,75,120,120,105c165,90,223,287,270,270c317,253,361,126,405,0e">
                    <v:path arrowok="t"/>
                    <v:fill on="f" focussize="0,0"/>
                    <v:stroke color="#000000" dashstyle="1 1" endarrow="block"/>
                    <v:imagedata o:title=""/>
                    <o:lock v:ext="edit" aspectratio="f"/>
                  </v:shape>
                  <v:shape id="_x0000_s2452" o:spid="_x0000_s2452" o:spt="202" type="#_x0000_t202" style="position:absolute;left:5529;top:14751;height:418;width:1161;" filled="f" stroked="f" coordsize="21600,21600">
                    <v:path/>
                    <v:fill on="f" focussize="0,0"/>
                    <v:stroke on="f"/>
                    <v:imagedata o:title=""/>
                    <o:lock v:ext="edit" aspectratio="f"/>
                    <v:textbox>
                      <w:txbxContent>
                        <w:p>
                          <w:pPr>
                            <w:jc w:val="center"/>
                            <w:rPr>
                              <w:rFonts w:hint="eastAsia" w:eastAsia="宋体"/>
                              <w:lang w:eastAsia="zh-CN"/>
                            </w:rPr>
                          </w:pPr>
                          <w:r>
                            <w:rPr>
                              <w:rFonts w:hint="eastAsia"/>
                            </w:rPr>
                            <w:t>损耗0.</w:t>
                          </w:r>
                          <w:r>
                            <w:rPr>
                              <w:rFonts w:hint="eastAsia"/>
                              <w:lang w:val="en-US" w:eastAsia="zh-CN"/>
                            </w:rPr>
                            <w:t>1</w:t>
                          </w:r>
                        </w:p>
                      </w:txbxContent>
                    </v:textbox>
                  </v:shape>
                  <v:shape id="_x0000_s2453" o:spid="_x0000_s2453" o:spt="33" type="#_x0000_t33" style="position:absolute;left:5048;top:14133;flip:y;height:3484;width:394;rotation:-5898240f;" filled="f" stroked="t" coordsize="21600,21600">
                    <v:path arrowok="t"/>
                    <v:fill on="f" focussize="0,0"/>
                    <v:stroke color="#000000" joinstyle="miter" endarrow="block"/>
                    <v:imagedata o:title=""/>
                    <o:lock v:ext="edit" aspectratio="f"/>
                  </v:shape>
                  <v:shape id="_x0000_s2454" o:spid="_x0000_s2454" o:spt="202" type="#_x0000_t202" style="position:absolute;left:3573;top:15677;height:416;width:1972;"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lang w:eastAsia="zh-CN"/>
                            </w:rPr>
                            <w:t>纯水制备弃水</w:t>
                          </w:r>
                          <w:r>
                            <w:rPr>
                              <w:rFonts w:hint="eastAsia"/>
                              <w:lang w:val="en-US" w:eastAsia="zh-CN"/>
                            </w:rPr>
                            <w:t>1.5</w:t>
                          </w:r>
                        </w:p>
                      </w:txbxContent>
                    </v:textbox>
                  </v:shape>
                  <v:shape id="_x0000_s2455" o:spid="_x0000_s2455" o:spt="32" type="#_x0000_t32" style="position:absolute;left:6553;top:15467;flip:y;height:1;width:430;" filled="f" stroked="t" coordsize="21600,21600">
                    <v:path arrowok="t"/>
                    <v:fill on="f" focussize="0,0"/>
                    <v:stroke color="#000000" endarrow="block"/>
                    <v:imagedata o:title=""/>
                    <o:lock v:ext="edit" aspectratio="f"/>
                  </v:shape>
                  <v:shape id="_x0000_s2456" o:spid="_x0000_s2456" o:spt="202" type="#_x0000_t202" style="position:absolute;left:6342;top:15129;height:418;width:854;"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lang w:val="en-US" w:eastAsia="zh-CN"/>
                            </w:rPr>
                            <w:t>3.4</w:t>
                          </w:r>
                        </w:p>
                      </w:txbxContent>
                    </v:textbox>
                  </v:shape>
                  <v:shape id="_x0000_s2457" o:spid="_x0000_s2457" o:spt="32" type="#_x0000_t32" style="position:absolute;left:6307;top:14436;height:0;width:676;" filled="f" stroked="t" coordsize="21600,21600">
                    <v:path arrowok="t"/>
                    <v:fill on="f" focussize="0,0"/>
                    <v:stroke color="#000000" endarrow="block"/>
                    <v:imagedata o:title=""/>
                    <o:lock v:ext="edit" aspectratio="f"/>
                  </v:shape>
                  <v:shape id="_x0000_s2458" o:spid="_x0000_s2458" o:spt="202" type="#_x0000_t202" style="position:absolute;left:6209;top:14105;height:403;width:846;" filled="f" stroked="f" coordsize="21600,21600">
                    <v:path/>
                    <v:fill on="f" focussize="0,0"/>
                    <v:stroke on="f"/>
                    <v:imagedata o:title=""/>
                    <o:lock v:ext="edit" aspectratio="f"/>
                    <v:textbox>
                      <w:txbxContent>
                        <w:p>
                          <w:pPr>
                            <w:jc w:val="center"/>
                            <w:rPr>
                              <w:rFonts w:hint="default" w:eastAsia="宋体"/>
                              <w:lang w:val="en-US" w:eastAsia="zh-CN"/>
                            </w:rPr>
                          </w:pPr>
                          <w:r>
                            <w:rPr>
                              <w:rFonts w:hint="eastAsia"/>
                              <w:lang w:val="en-US" w:eastAsia="zh-CN"/>
                            </w:rPr>
                            <w:t>14.2</w:t>
                          </w:r>
                        </w:p>
                      </w:txbxContent>
                    </v:textbox>
                  </v:shape>
                  <w10:wrap type="none"/>
                  <w10:anchorlock/>
                </v:group>
              </w:pict>
            </w:r>
          </w:p>
          <w:p>
            <w:pPr>
              <w:spacing w:line="360" w:lineRule="auto"/>
              <w:jc w:val="center"/>
              <w:rPr>
                <w:b/>
                <w:sz w:val="24"/>
              </w:rPr>
            </w:pPr>
            <w:r>
              <w:rPr>
                <w:b/>
                <w:bCs/>
                <w:sz w:val="24"/>
                <w:szCs w:val="32"/>
              </w:rPr>
              <w:t>图</w:t>
            </w:r>
            <w:r>
              <w:rPr>
                <w:rFonts w:hint="eastAsia"/>
                <w:b/>
                <w:bCs/>
                <w:sz w:val="24"/>
                <w:szCs w:val="32"/>
              </w:rPr>
              <w:t xml:space="preserve">2-1 </w:t>
            </w:r>
            <w:r>
              <w:rPr>
                <w:b/>
                <w:bCs/>
                <w:sz w:val="24"/>
                <w:szCs w:val="32"/>
              </w:rPr>
              <w:t xml:space="preserve"> </w:t>
            </w:r>
            <w:r>
              <w:rPr>
                <w:rFonts w:hint="eastAsia"/>
                <w:b/>
                <w:bCs/>
                <w:sz w:val="24"/>
                <w:szCs w:val="32"/>
                <w:lang w:eastAsia="zh-CN"/>
              </w:rPr>
              <w:t>全厂</w:t>
            </w:r>
            <w:r>
              <w:rPr>
                <w:b/>
                <w:bCs/>
                <w:sz w:val="24"/>
                <w:szCs w:val="32"/>
              </w:rPr>
              <w:t>水平衡图（单位：</w:t>
            </w:r>
            <w:r>
              <w:rPr>
                <w:b/>
                <w:sz w:val="24"/>
              </w:rPr>
              <w:t>m</w:t>
            </w:r>
            <w:r>
              <w:rPr>
                <w:b/>
                <w:sz w:val="24"/>
                <w:vertAlign w:val="superscript"/>
              </w:rPr>
              <w:t>3</w:t>
            </w:r>
            <w:r>
              <w:rPr>
                <w:b/>
                <w:bCs/>
                <w:sz w:val="24"/>
                <w:szCs w:val="32"/>
              </w:rPr>
              <w:t>/</w:t>
            </w:r>
            <w:r>
              <w:rPr>
                <w:rFonts w:hint="eastAsia"/>
                <w:b/>
                <w:bCs/>
                <w:sz w:val="24"/>
                <w:szCs w:val="32"/>
              </w:rPr>
              <w:t>d</w:t>
            </w:r>
            <w:r>
              <w:rPr>
                <w:b/>
                <w:bCs/>
                <w:sz w:val="24"/>
                <w:szCs w:val="32"/>
              </w:rPr>
              <w:t>）</w:t>
            </w:r>
          </w:p>
          <w:p>
            <w:pPr>
              <w:spacing w:line="360" w:lineRule="auto"/>
              <w:ind w:firstLine="482" w:firstLineChars="200"/>
              <w:rPr>
                <w:b/>
                <w:sz w:val="24"/>
              </w:rPr>
            </w:pPr>
            <w:r>
              <w:rPr>
                <w:b/>
                <w:sz w:val="24"/>
              </w:rPr>
              <w:t>5</w:t>
            </w:r>
            <w:r>
              <w:rPr>
                <w:rFonts w:hint="eastAsia"/>
                <w:b/>
                <w:sz w:val="24"/>
              </w:rPr>
              <w:t>、</w:t>
            </w:r>
            <w:r>
              <w:rPr>
                <w:b/>
                <w:sz w:val="24"/>
              </w:rPr>
              <w:t>生产班制和劳动定员</w:t>
            </w:r>
          </w:p>
          <w:p>
            <w:pPr>
              <w:spacing w:line="360" w:lineRule="auto"/>
              <w:ind w:firstLine="472" w:firstLineChars="200"/>
              <w:rPr>
                <w:spacing w:val="-2"/>
                <w:sz w:val="24"/>
              </w:rPr>
            </w:pPr>
            <w:r>
              <w:rPr>
                <w:spacing w:val="-2"/>
                <w:sz w:val="24"/>
              </w:rPr>
              <w:t>职工人数：项目</w:t>
            </w:r>
            <w:r>
              <w:rPr>
                <w:rFonts w:hint="eastAsia"/>
                <w:spacing w:val="-2"/>
                <w:sz w:val="24"/>
              </w:rPr>
              <w:t>新增员工200</w:t>
            </w:r>
            <w:r>
              <w:rPr>
                <w:spacing w:val="-2"/>
                <w:sz w:val="24"/>
              </w:rPr>
              <w:t>人，</w:t>
            </w:r>
            <w:r>
              <w:rPr>
                <w:rFonts w:hint="eastAsia"/>
                <w:spacing w:val="-2"/>
                <w:sz w:val="24"/>
              </w:rPr>
              <w:t>提供午餐</w:t>
            </w:r>
            <w:r>
              <w:rPr>
                <w:spacing w:val="-2"/>
                <w:sz w:val="24"/>
              </w:rPr>
              <w:t>。</w:t>
            </w:r>
          </w:p>
          <w:p>
            <w:pPr>
              <w:spacing w:line="360" w:lineRule="auto"/>
              <w:ind w:firstLine="472" w:firstLineChars="200"/>
              <w:rPr>
                <w:spacing w:val="-2"/>
                <w:sz w:val="24"/>
              </w:rPr>
            </w:pPr>
            <w:r>
              <w:rPr>
                <w:spacing w:val="-2"/>
                <w:sz w:val="24"/>
              </w:rPr>
              <w:t>工作制度：</w:t>
            </w:r>
            <w:r>
              <w:rPr>
                <w:rFonts w:hint="eastAsia"/>
                <w:spacing w:val="-2"/>
                <w:sz w:val="24"/>
              </w:rPr>
              <w:t>单</w:t>
            </w:r>
            <w:r>
              <w:rPr>
                <w:spacing w:val="-2"/>
                <w:sz w:val="24"/>
              </w:rPr>
              <w:t>班工作制，日工作</w:t>
            </w:r>
            <w:r>
              <w:rPr>
                <w:rFonts w:hint="eastAsia"/>
                <w:spacing w:val="-2"/>
                <w:sz w:val="24"/>
              </w:rPr>
              <w:t>10</w:t>
            </w:r>
            <w:r>
              <w:rPr>
                <w:spacing w:val="-2"/>
                <w:sz w:val="24"/>
              </w:rPr>
              <w:t>小时，年工作</w:t>
            </w:r>
            <w:r>
              <w:rPr>
                <w:rFonts w:hint="eastAsia"/>
                <w:spacing w:val="-2"/>
                <w:sz w:val="24"/>
              </w:rPr>
              <w:t>30</w:t>
            </w:r>
            <w:r>
              <w:rPr>
                <w:spacing w:val="-2"/>
                <w:sz w:val="24"/>
              </w:rPr>
              <w:t>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486" w:type="dxa"/>
            <w:vAlign w:val="center"/>
          </w:tcPr>
          <w:p>
            <w:pPr>
              <w:pStyle w:val="19"/>
              <w:adjustRightInd w:val="0"/>
              <w:snapToGrid w:val="0"/>
              <w:spacing w:before="0" w:beforeAutospacing="0" w:after="0" w:afterAutospacing="0"/>
              <w:jc w:val="center"/>
              <w:rPr>
                <w:rFonts w:cs="宋体"/>
                <w:sz w:val="28"/>
                <w:szCs w:val="28"/>
              </w:rPr>
            </w:pPr>
            <w:r>
              <w:rPr>
                <w:rFonts w:hint="eastAsia" w:cs="宋体"/>
                <w:sz w:val="28"/>
                <w:szCs w:val="28"/>
              </w:rPr>
              <w:t>工</w:t>
            </w:r>
          </w:p>
          <w:p>
            <w:pPr>
              <w:pStyle w:val="19"/>
              <w:adjustRightInd w:val="0"/>
              <w:snapToGrid w:val="0"/>
              <w:spacing w:before="0" w:beforeAutospacing="0" w:after="0" w:afterAutospacing="0"/>
              <w:jc w:val="center"/>
              <w:rPr>
                <w:rFonts w:cs="宋体"/>
                <w:sz w:val="28"/>
                <w:szCs w:val="28"/>
              </w:rPr>
            </w:pPr>
            <w:r>
              <w:rPr>
                <w:rFonts w:hint="eastAsia" w:cs="宋体"/>
                <w:sz w:val="28"/>
                <w:szCs w:val="28"/>
              </w:rPr>
              <w:t>艺</w:t>
            </w:r>
          </w:p>
          <w:p>
            <w:pPr>
              <w:pStyle w:val="19"/>
              <w:adjustRightInd w:val="0"/>
              <w:snapToGrid w:val="0"/>
              <w:spacing w:before="0" w:beforeAutospacing="0" w:after="0" w:afterAutospacing="0"/>
              <w:jc w:val="center"/>
              <w:rPr>
                <w:rFonts w:cs="宋体"/>
                <w:sz w:val="28"/>
                <w:szCs w:val="28"/>
              </w:rPr>
            </w:pPr>
            <w:r>
              <w:rPr>
                <w:rFonts w:hint="eastAsia" w:cs="宋体"/>
                <w:sz w:val="28"/>
                <w:szCs w:val="28"/>
              </w:rPr>
              <w:t>流</w:t>
            </w:r>
          </w:p>
          <w:p>
            <w:pPr>
              <w:pStyle w:val="19"/>
              <w:adjustRightInd w:val="0"/>
              <w:snapToGrid w:val="0"/>
              <w:spacing w:before="0" w:beforeAutospacing="0" w:after="0" w:afterAutospacing="0"/>
              <w:jc w:val="center"/>
              <w:rPr>
                <w:rFonts w:cs="宋体"/>
                <w:sz w:val="28"/>
                <w:szCs w:val="28"/>
              </w:rPr>
            </w:pPr>
            <w:r>
              <w:rPr>
                <w:rFonts w:hint="eastAsia" w:cs="宋体"/>
                <w:sz w:val="28"/>
                <w:szCs w:val="28"/>
              </w:rPr>
              <w:t>程</w:t>
            </w:r>
          </w:p>
          <w:p>
            <w:pPr>
              <w:pStyle w:val="19"/>
              <w:adjustRightInd w:val="0"/>
              <w:snapToGrid w:val="0"/>
              <w:spacing w:before="0" w:beforeAutospacing="0" w:after="0" w:afterAutospacing="0"/>
              <w:jc w:val="center"/>
              <w:rPr>
                <w:rFonts w:cs="宋体"/>
                <w:sz w:val="28"/>
                <w:szCs w:val="28"/>
              </w:rPr>
            </w:pPr>
            <w:r>
              <w:rPr>
                <w:rFonts w:hint="eastAsia" w:cs="宋体"/>
                <w:sz w:val="28"/>
                <w:szCs w:val="28"/>
              </w:rPr>
              <w:t>和</w:t>
            </w:r>
          </w:p>
          <w:p>
            <w:pPr>
              <w:pStyle w:val="19"/>
              <w:adjustRightInd w:val="0"/>
              <w:snapToGrid w:val="0"/>
              <w:spacing w:before="0" w:beforeAutospacing="0" w:after="0" w:afterAutospacing="0"/>
              <w:jc w:val="center"/>
              <w:rPr>
                <w:rFonts w:cs="宋体"/>
                <w:sz w:val="28"/>
                <w:szCs w:val="28"/>
              </w:rPr>
            </w:pPr>
            <w:r>
              <w:rPr>
                <w:rFonts w:hint="eastAsia" w:cs="宋体"/>
                <w:sz w:val="28"/>
                <w:szCs w:val="28"/>
              </w:rPr>
              <w:t>产</w:t>
            </w:r>
          </w:p>
          <w:p>
            <w:pPr>
              <w:pStyle w:val="19"/>
              <w:adjustRightInd w:val="0"/>
              <w:snapToGrid w:val="0"/>
              <w:spacing w:before="0" w:beforeAutospacing="0" w:after="0" w:afterAutospacing="0"/>
              <w:jc w:val="center"/>
              <w:rPr>
                <w:rFonts w:cs="宋体"/>
                <w:sz w:val="28"/>
                <w:szCs w:val="28"/>
              </w:rPr>
            </w:pPr>
            <w:r>
              <w:rPr>
                <w:rFonts w:hint="eastAsia" w:cs="宋体"/>
                <w:sz w:val="28"/>
                <w:szCs w:val="28"/>
              </w:rPr>
              <w:t>排</w:t>
            </w:r>
          </w:p>
          <w:p>
            <w:pPr>
              <w:pStyle w:val="19"/>
              <w:adjustRightInd w:val="0"/>
              <w:snapToGrid w:val="0"/>
              <w:spacing w:before="0" w:beforeAutospacing="0" w:after="0" w:afterAutospacing="0"/>
              <w:jc w:val="center"/>
              <w:rPr>
                <w:rFonts w:cs="宋体"/>
                <w:sz w:val="28"/>
                <w:szCs w:val="28"/>
              </w:rPr>
            </w:pPr>
            <w:r>
              <w:rPr>
                <w:rFonts w:hint="eastAsia" w:cs="宋体"/>
                <w:sz w:val="28"/>
                <w:szCs w:val="28"/>
              </w:rPr>
              <w:t>污</w:t>
            </w:r>
          </w:p>
          <w:p>
            <w:pPr>
              <w:pStyle w:val="19"/>
              <w:adjustRightInd w:val="0"/>
              <w:snapToGrid w:val="0"/>
              <w:spacing w:before="0" w:beforeAutospacing="0" w:after="0" w:afterAutospacing="0"/>
              <w:jc w:val="center"/>
              <w:rPr>
                <w:rFonts w:cs="宋体"/>
                <w:sz w:val="28"/>
                <w:szCs w:val="28"/>
              </w:rPr>
            </w:pPr>
            <w:r>
              <w:rPr>
                <w:rFonts w:hint="eastAsia" w:cs="宋体"/>
                <w:sz w:val="28"/>
                <w:szCs w:val="28"/>
              </w:rPr>
              <w:t>环</w:t>
            </w:r>
          </w:p>
          <w:p>
            <w:pPr>
              <w:pStyle w:val="19"/>
              <w:adjustRightInd w:val="0"/>
              <w:snapToGrid w:val="0"/>
              <w:spacing w:before="0" w:beforeAutospacing="0" w:after="0" w:afterAutospacing="0"/>
              <w:jc w:val="center"/>
              <w:rPr>
                <w:rFonts w:cs="宋体"/>
                <w:sz w:val="28"/>
                <w:szCs w:val="28"/>
              </w:rPr>
            </w:pPr>
            <w:r>
              <w:rPr>
                <w:rFonts w:hint="eastAsia" w:cs="宋体"/>
                <w:sz w:val="28"/>
                <w:szCs w:val="28"/>
              </w:rPr>
              <w:t>节</w:t>
            </w:r>
          </w:p>
        </w:tc>
        <w:tc>
          <w:tcPr>
            <w:tcW w:w="8498" w:type="dxa"/>
          </w:tcPr>
          <w:p>
            <w:pPr>
              <w:pStyle w:val="46"/>
              <w:snapToGrid w:val="0"/>
              <w:spacing w:line="520" w:lineRule="exact"/>
              <w:rPr>
                <w:b/>
                <w:bCs/>
                <w:sz w:val="24"/>
                <w:lang w:eastAsia="zh-CN"/>
              </w:rPr>
            </w:pPr>
            <w:r>
              <w:rPr>
                <w:b/>
                <w:bCs/>
                <w:sz w:val="24"/>
                <w:lang w:eastAsia="zh-CN"/>
              </w:rPr>
              <w:t>项目工艺流程</w:t>
            </w:r>
          </w:p>
          <w:p>
            <w:pPr>
              <w:snapToGrid w:val="0"/>
              <w:spacing w:line="360" w:lineRule="auto"/>
              <w:ind w:firstLine="480" w:firstLineChars="200"/>
              <w:jc w:val="left"/>
              <w:rPr>
                <w:b/>
                <w:sz w:val="24"/>
              </w:rPr>
            </w:pPr>
            <w:r>
              <w:rPr>
                <w:rFonts w:hint="eastAsia"/>
                <w:bCs/>
                <w:sz w:val="24"/>
              </w:rPr>
              <w:t>本项目为扩建项目，主要产品为塑料包装制品生产（胶盒、瓶盖、瓶）、夹心海苔、原味海苔生产，具体工艺流程如下。</w:t>
            </w:r>
            <w:r>
              <w:rPr>
                <w:b/>
                <w:sz w:val="24"/>
              </w:rPr>
              <w:t xml:space="preserve"> </w:t>
            </w:r>
          </w:p>
          <w:p>
            <w:pPr>
              <w:snapToGrid w:val="0"/>
              <w:spacing w:line="360" w:lineRule="auto"/>
              <w:ind w:firstLine="482" w:firstLineChars="200"/>
              <w:jc w:val="left"/>
              <w:rPr>
                <w:b/>
                <w:sz w:val="24"/>
              </w:rPr>
            </w:pPr>
            <w:r>
              <w:rPr>
                <w:rFonts w:hint="eastAsia"/>
                <w:b/>
                <w:sz w:val="24"/>
              </w:rPr>
              <w:t>一、塑料胶盒生产</w:t>
            </w:r>
          </w:p>
          <w:p>
            <w:pPr>
              <w:snapToGrid w:val="0"/>
              <w:spacing w:line="360" w:lineRule="auto"/>
              <w:jc w:val="left"/>
              <w:rPr>
                <w:b/>
                <w:sz w:val="24"/>
              </w:rPr>
            </w:pPr>
            <w:r>
              <w:rPr>
                <w:b/>
                <w:sz w:val="24"/>
              </w:rPr>
              <w:pict>
                <v:group id="_x0000_s2102" o:spid="_x0000_s2102" o:spt="203" style="height:227.55pt;width:396.4pt;" coordorigin="1810,9116" coordsize="7928,4551" editas="canvas">
                  <o:lock v:ext="edit"/>
                  <v:shape id="_x0000_s2103" o:spid="_x0000_s2103" o:spt="75" type="#_x0000_t75" style="position:absolute;left:1810;top:9116;height:4551;width:7928;" filled="f" o:preferrelative="t" stroked="f" coordsize="21600,21600">
                    <v:path/>
                    <v:fill on="f" focussize="0,0"/>
                    <v:stroke on="f" joinstyle="miter"/>
                    <v:imagedata o:title=""/>
                    <o:lock v:ext="edit" text="t" aspectratio="t"/>
                  </v:shape>
                  <v:shape id="文本框 1107" o:spid="_x0000_s2104" o:spt="202" type="#_x0000_t202" style="position:absolute;left:4445;top:9129;height:464;width:2048;" filled="f" stroked="f" coordsize="21600,21600">
                    <v:path/>
                    <v:fill on="f" focussize="0,0"/>
                    <v:stroke on="f" joinstyle="miter"/>
                    <v:imagedata o:title=""/>
                    <o:lock v:ext="edit"/>
                    <v:textbox>
                      <w:txbxContent>
                        <w:p>
                          <w:pPr>
                            <w:jc w:val="center"/>
                          </w:pPr>
                          <w:r>
                            <w:rPr>
                              <w:rFonts w:hint="eastAsia"/>
                            </w:rPr>
                            <w:t>PP、PE、PPT</w:t>
                          </w:r>
                        </w:p>
                      </w:txbxContent>
                    </v:textbox>
                  </v:shape>
                  <v:shape id="自选图形 1108" o:spid="_x0000_s2105" o:spt="32" type="#_x0000_t32" style="position:absolute;left:5509;top:9506;height:414;width:4;" filled="f" coordsize="21600,21600">
                    <v:path arrowok="t"/>
                    <v:fill on="f" focussize="0,0"/>
                    <v:stroke endarrow="block"/>
                    <v:imagedata o:title=""/>
                    <o:lock v:ext="edit"/>
                  </v:shape>
                  <v:shape id="文本框 1109" o:spid="_x0000_s2106" o:spt="202" type="#_x0000_t202" style="position:absolute;left:4770;top:9890;height:432;width:1536;" filled="f" coordsize="21600,21600">
                    <v:path/>
                    <v:fill on="f" focussize="0,0"/>
                    <v:stroke joinstyle="miter"/>
                    <v:imagedata o:title=""/>
                    <o:lock v:ext="edit"/>
                    <v:textbox>
                      <w:txbxContent>
                        <w:p>
                          <w:pPr>
                            <w:jc w:val="center"/>
                          </w:pPr>
                          <w:r>
                            <w:rPr>
                              <w:rFonts w:hint="eastAsia"/>
                            </w:rPr>
                            <w:t>原料验收</w:t>
                          </w:r>
                        </w:p>
                      </w:txbxContent>
                    </v:textbox>
                  </v:shape>
                  <v:shape id="自选图形 1120" o:spid="_x0000_s2107" o:spt="32" type="#_x0000_t32" style="position:absolute;left:6274;top:10923;height:2;width:823;" filled="f" coordsize="21600,21600">
                    <v:path arrowok="t"/>
                    <v:fill on="f" focussize="0,0"/>
                    <v:stroke dashstyle="dash" endarrow="block"/>
                    <v:imagedata o:title=""/>
                    <o:lock v:ext="edit"/>
                  </v:shape>
                  <v:line id="_x0000_s2108" o:spid="_x0000_s2108" o:spt="20" style="position:absolute;left:4021;top:10912;height:1;width:735;" coordsize="21600,21600">
                    <v:path arrowok="t"/>
                    <v:fill focussize="0,0"/>
                    <v:stroke endarrow="block"/>
                    <v:imagedata o:title=""/>
                    <o:lock v:ext="edit"/>
                  </v:line>
                  <v:shape id="_x0000_s2109" o:spid="_x0000_s2109" o:spt="202" type="#_x0000_t202" style="position:absolute;left:3143;top:10687;height:463;width:1050;"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冷却水</w:t>
                          </w:r>
                        </w:p>
                      </w:txbxContent>
                    </v:textbox>
                  </v:shape>
                  <v:shape id="文本框 1109" o:spid="_x0000_s2110" o:spt="202" type="#_x0000_t202" style="position:absolute;left:4755;top:10700;height:430;width:1520;" filled="f" coordsize="21600,21600">
                    <v:path/>
                    <v:fill on="f" focussize="0,0"/>
                    <v:stroke joinstyle="miter"/>
                    <v:imagedata o:title=""/>
                    <o:lock v:ext="edit"/>
                    <v:textbox>
                      <w:txbxContent>
                        <w:p>
                          <w:pPr>
                            <w:jc w:val="center"/>
                          </w:pPr>
                          <w:r>
                            <w:rPr>
                              <w:rFonts w:hint="eastAsia"/>
                            </w:rPr>
                            <w:t>片材制作</w:t>
                          </w:r>
                        </w:p>
                      </w:txbxContent>
                    </v:textbox>
                  </v:shape>
                  <v:shape id="文本框 1109" o:spid="_x0000_s2111" o:spt="202" type="#_x0000_t202" style="position:absolute;left:7079;top:10549;height:741;width:1756;" filled="f" coordsize="21600,21600">
                    <v:path/>
                    <v:fill on="f" focussize="0,0"/>
                    <v:stroke dashstyle="dash"/>
                    <v:imagedata o:title=""/>
                    <o:lock v:ext="edit"/>
                    <v:textbox>
                      <w:txbxContent>
                        <w:p>
                          <w:r>
                            <w:rPr>
                              <w:rFonts w:hint="eastAsia"/>
                            </w:rPr>
                            <w:t>S1-1：废包装袋G1-1：有机废气</w:t>
                          </w:r>
                        </w:p>
                      </w:txbxContent>
                    </v:textbox>
                  </v:shape>
                  <v:shape id="文本框 1109" o:spid="_x0000_s2112" o:spt="202" type="#_x0000_t202" style="position:absolute;left:4744;top:11524;height:430;width:1520;" filled="f" coordsize="21600,21600">
                    <v:path/>
                    <v:fill on="f" focussize="0,0"/>
                    <v:stroke joinstyle="miter"/>
                    <v:imagedata o:title=""/>
                    <o:lock v:ext="edit"/>
                    <v:textbox>
                      <w:txbxContent>
                        <w:p>
                          <w:pPr>
                            <w:jc w:val="center"/>
                          </w:pPr>
                          <w:r>
                            <w:rPr>
                              <w:rFonts w:hint="eastAsia"/>
                            </w:rPr>
                            <w:t>吸塑</w:t>
                          </w:r>
                        </w:p>
                      </w:txbxContent>
                    </v:textbox>
                  </v:shape>
                  <v:shape id="自选图形 1120" o:spid="_x0000_s2113" o:spt="32" type="#_x0000_t32" style="position:absolute;left:6268;top:11736;height:0;width:820;" filled="f" coordsize="21600,21600">
                    <v:path arrowok="t"/>
                    <v:fill on="f" focussize="0,0"/>
                    <v:stroke dashstyle="dash" endarrow="block"/>
                    <v:imagedata o:title=""/>
                    <o:lock v:ext="edit"/>
                  </v:shape>
                  <v:shape id="文本框 1109" o:spid="_x0000_s2114" o:spt="202" type="#_x0000_t202" style="position:absolute;left:7080;top:11525;height:441;width:1740;" filled="f" coordsize="21600,21600">
                    <v:path/>
                    <v:fill on="f" focussize="0,0"/>
                    <v:stroke dashstyle="dash"/>
                    <v:imagedata o:title=""/>
                    <o:lock v:ext="edit"/>
                    <v:textbox>
                      <w:txbxContent>
                        <w:p>
                          <w:r>
                            <w:rPr>
                              <w:rFonts w:hint="eastAsia"/>
                            </w:rPr>
                            <w:t>G1-2：有机废气</w:t>
                          </w:r>
                        </w:p>
                      </w:txbxContent>
                    </v:textbox>
                  </v:shape>
                  <v:shape id="自选图形 1108" o:spid="_x0000_s2115" o:spt="32" type="#_x0000_t32" style="position:absolute;left:5531;top:10325;height:400;width:0;" filled="f" coordsize="21600,21600">
                    <v:path arrowok="t"/>
                    <v:fill on="f" focussize="0,0"/>
                    <v:stroke endarrow="block"/>
                    <v:imagedata o:title=""/>
                    <o:lock v:ext="edit"/>
                  </v:shape>
                  <v:shape id="自选图形 1108" o:spid="_x0000_s2116" o:spt="32" type="#_x0000_t32" style="position:absolute;left:5530;top:11136;height:400;width:0;" filled="f" coordsize="21600,21600">
                    <v:path arrowok="t"/>
                    <v:fill on="f" focussize="0,0"/>
                    <v:stroke endarrow="block"/>
                    <v:imagedata o:title=""/>
                    <o:lock v:ext="edit"/>
                  </v:shape>
                  <v:shape id="自选图形 1108" o:spid="_x0000_s2117" o:spt="32" type="#_x0000_t32" style="position:absolute;left:5505;top:11961;height:400;width:0;" filled="f" coordsize="21600,21600">
                    <v:path arrowok="t"/>
                    <v:fill on="f" focussize="0,0"/>
                    <v:stroke endarrow="block"/>
                    <v:imagedata o:title=""/>
                    <o:lock v:ext="edit"/>
                  </v:shape>
                  <v:shape id="文本框 1109" o:spid="_x0000_s2118" o:spt="202" type="#_x0000_t202" style="position:absolute;left:4755;top:12349;height:420;width:1520;" filled="f" coordsize="21600,21600">
                    <v:path/>
                    <v:fill on="f" focussize="0,0"/>
                    <v:stroke joinstyle="miter"/>
                    <v:imagedata o:title=""/>
                    <o:lock v:ext="edit"/>
                    <v:textbox>
                      <w:txbxContent>
                        <w:p>
                          <w:pPr>
                            <w:jc w:val="center"/>
                          </w:pPr>
                          <w:r>
                            <w:rPr>
                              <w:rFonts w:hint="eastAsia"/>
                            </w:rPr>
                            <w:t>裁断</w:t>
                          </w:r>
                        </w:p>
                      </w:txbxContent>
                    </v:textbox>
                  </v:shape>
                  <v:shape id="自选图形 1120" o:spid="_x0000_s2119" o:spt="32" type="#_x0000_t32" style="position:absolute;left:6293;top:12549;height:0;width:820;" filled="f" coordsize="21600,21600">
                    <v:path arrowok="t"/>
                    <v:fill on="f" focussize="0,0"/>
                    <v:stroke dashstyle="dash" endarrow="block"/>
                    <v:imagedata o:title=""/>
                    <o:lock v:ext="edit"/>
                  </v:shape>
                  <v:shape id="文本框 1109" o:spid="_x0000_s2120" o:spt="202" type="#_x0000_t202" style="position:absolute;left:7106;top:12374;height:440;width:1740;" filled="f" coordsize="21600,21600">
                    <v:path/>
                    <v:fill on="f" focussize="0,0"/>
                    <v:stroke dashstyle="dash"/>
                    <v:imagedata o:title=""/>
                    <o:lock v:ext="edit"/>
                    <v:textbox>
                      <w:txbxContent>
                        <w:p>
                          <w:r>
                            <w:rPr>
                              <w:rFonts w:hint="eastAsia"/>
                            </w:rPr>
                            <w:t>S1-2：废边角料</w:t>
                          </w:r>
                        </w:p>
                      </w:txbxContent>
                    </v:textbox>
                  </v:shape>
                  <v:shape id="自选图形 1108" o:spid="_x0000_s2121" o:spt="32" type="#_x0000_t32" style="position:absolute;left:5506;top:12774;height:400;width:0;" filled="f" coordsize="21600,21600">
                    <v:path arrowok="t"/>
                    <v:fill on="f" focussize="0,0"/>
                    <v:stroke endarrow="block"/>
                    <v:imagedata o:title=""/>
                    <o:lock v:ext="edit"/>
                  </v:shape>
                  <v:shape id="_x0000_s2122" o:spid="_x0000_s2122" o:spt="202" type="#_x0000_t202" style="position:absolute;left:4919;top:13162;height:460;width:1314;"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包装入库</w:t>
                          </w:r>
                        </w:p>
                      </w:txbxContent>
                    </v:textbox>
                  </v:shape>
                  <v:line id="_x0000_s2123" o:spid="_x0000_s2123" o:spt="20" style="position:absolute;left:4031;top:11749;height:0;width:720;" coordsize="21600,21600">
                    <v:path arrowok="t"/>
                    <v:fill focussize="0,0"/>
                    <v:stroke endarrow="block"/>
                    <v:imagedata o:title=""/>
                    <o:lock v:ext="edit"/>
                  </v:line>
                  <v:shape id="_x0000_s2124" o:spid="_x0000_s2124" o:spt="202" type="#_x0000_t202" style="position:absolute;left:3143;top:11549;height:460;width:1040;"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冷却水</w:t>
                          </w:r>
                        </w:p>
                      </w:txbxContent>
                    </v:textbox>
                  </v:shape>
                  <w10:wrap type="none"/>
                  <w10:anchorlock/>
                </v:group>
              </w:pict>
            </w:r>
          </w:p>
          <w:p>
            <w:pPr>
              <w:snapToGrid w:val="0"/>
              <w:spacing w:line="360" w:lineRule="auto"/>
              <w:jc w:val="center"/>
              <w:rPr>
                <w:b/>
                <w:bCs/>
                <w:sz w:val="24"/>
              </w:rPr>
            </w:pPr>
            <w:r>
              <w:rPr>
                <w:b/>
                <w:bCs/>
                <w:sz w:val="24"/>
              </w:rPr>
              <w:t>图</w:t>
            </w:r>
            <w:r>
              <w:rPr>
                <w:rFonts w:hint="eastAsia"/>
                <w:b/>
                <w:bCs/>
                <w:sz w:val="24"/>
              </w:rPr>
              <w:t>2-2</w:t>
            </w:r>
            <w:r>
              <w:rPr>
                <w:b/>
                <w:bCs/>
                <w:sz w:val="24"/>
              </w:rPr>
              <w:t xml:space="preserve">  </w:t>
            </w:r>
            <w:r>
              <w:rPr>
                <w:rFonts w:hint="eastAsia"/>
                <w:b/>
                <w:sz w:val="24"/>
              </w:rPr>
              <w:t>塑料胶盒生产</w:t>
            </w:r>
            <w:r>
              <w:rPr>
                <w:b/>
                <w:bCs/>
                <w:sz w:val="24"/>
              </w:rPr>
              <w:t>工艺流程及产污环节图</w:t>
            </w:r>
          </w:p>
          <w:p>
            <w:pPr>
              <w:snapToGrid w:val="0"/>
              <w:spacing w:line="360" w:lineRule="auto"/>
              <w:ind w:firstLine="482" w:firstLineChars="200"/>
              <w:rPr>
                <w:b/>
                <w:sz w:val="24"/>
              </w:rPr>
            </w:pPr>
            <w:r>
              <w:rPr>
                <w:rFonts w:hAnsi="宋体"/>
                <w:b/>
                <w:sz w:val="24"/>
              </w:rPr>
              <w:t>生产工艺流程说明：</w:t>
            </w:r>
          </w:p>
          <w:p>
            <w:pPr>
              <w:spacing w:line="360" w:lineRule="auto"/>
              <w:ind w:firstLine="480" w:firstLineChars="200"/>
              <w:rPr>
                <w:rFonts w:hAnsi="宋体"/>
                <w:bCs/>
                <w:sz w:val="24"/>
              </w:rPr>
            </w:pPr>
            <w:r>
              <w:rPr>
                <w:rFonts w:hAnsi="宋体"/>
                <w:bCs/>
                <w:sz w:val="24"/>
              </w:rPr>
              <w:t>（</w:t>
            </w:r>
            <w:r>
              <w:rPr>
                <w:bCs/>
                <w:sz w:val="24"/>
              </w:rPr>
              <w:t>1</w:t>
            </w:r>
            <w:r>
              <w:rPr>
                <w:rFonts w:hAnsi="宋体"/>
                <w:bCs/>
                <w:sz w:val="24"/>
              </w:rPr>
              <w:t>）</w:t>
            </w:r>
            <w:r>
              <w:rPr>
                <w:rFonts w:hint="eastAsia" w:hAnsi="宋体"/>
                <w:bCs/>
                <w:sz w:val="24"/>
              </w:rPr>
              <w:t>原料验收：对外购的塑料颗粒进行验收，合格的投入生产，不合格的收集发回厂家处理，重新发货。</w:t>
            </w:r>
          </w:p>
          <w:p>
            <w:pPr>
              <w:spacing w:line="360" w:lineRule="auto"/>
              <w:ind w:firstLine="480" w:firstLineChars="200"/>
              <w:rPr>
                <w:rFonts w:hAnsi="宋体"/>
                <w:bCs/>
                <w:sz w:val="24"/>
              </w:rPr>
            </w:pPr>
            <w:r>
              <w:rPr>
                <w:rFonts w:hint="eastAsia" w:hAnsi="宋体"/>
                <w:bCs/>
                <w:sz w:val="24"/>
              </w:rPr>
              <w:t>（2）片材制作：塑料颗粒投入片材机，温度保持在200℃左右，在螺杆的螺旋输送作用下，塑料熔体被挤入片材模具中，在设备的控制下，得到符合规格要求的片材，使用冷却水进行间接冷却得到片材，此过程主要产生废包装袋（S1-1）、有机废气（G1-1）和机械设备噪声。</w:t>
            </w:r>
          </w:p>
          <w:p>
            <w:pPr>
              <w:spacing w:line="360" w:lineRule="auto"/>
              <w:ind w:firstLine="480" w:firstLineChars="200"/>
              <w:rPr>
                <w:rFonts w:hAnsi="宋体"/>
                <w:bCs/>
                <w:sz w:val="24"/>
              </w:rPr>
            </w:pPr>
            <w:r>
              <w:rPr>
                <w:rFonts w:hint="eastAsia" w:hAnsi="宋体"/>
                <w:bCs/>
                <w:sz w:val="24"/>
              </w:rPr>
              <w:t>（3）吸塑、裁断：将片材半成品送入吸塑、裁断一体机中，工作温度约180~200℃，使片材软化，然后将吸塑模具和片材之间的空气抽走，使片材紧贴模具表面，片材成型，冷却后对半成品进行裁剪，此过程主要产生有机废气（G1-2）、废边角料（S1-2）和机械设备噪声。</w:t>
            </w:r>
          </w:p>
          <w:p>
            <w:pPr>
              <w:spacing w:line="360" w:lineRule="auto"/>
              <w:ind w:firstLine="480" w:firstLineChars="200"/>
              <w:rPr>
                <w:rFonts w:hAnsi="宋体"/>
                <w:bCs/>
                <w:sz w:val="24"/>
              </w:rPr>
            </w:pPr>
            <w:r>
              <w:rPr>
                <w:rFonts w:hint="eastAsia" w:hAnsi="宋体"/>
                <w:bCs/>
                <w:sz w:val="24"/>
              </w:rPr>
              <w:t>（4）包装入库：裁剪好的半成品通过人工组装打包入库。</w:t>
            </w:r>
          </w:p>
          <w:p>
            <w:pPr>
              <w:snapToGrid w:val="0"/>
              <w:spacing w:line="360" w:lineRule="auto"/>
              <w:ind w:firstLine="482" w:firstLineChars="200"/>
              <w:jc w:val="left"/>
              <w:rPr>
                <w:rFonts w:hint="eastAsia"/>
                <w:b/>
                <w:sz w:val="24"/>
              </w:rPr>
            </w:pPr>
          </w:p>
          <w:p>
            <w:pPr>
              <w:snapToGrid w:val="0"/>
              <w:spacing w:line="360" w:lineRule="auto"/>
              <w:ind w:firstLine="482" w:firstLineChars="200"/>
              <w:jc w:val="left"/>
              <w:rPr>
                <w:b/>
                <w:sz w:val="24"/>
              </w:rPr>
            </w:pPr>
            <w:r>
              <w:rPr>
                <w:rFonts w:hint="eastAsia"/>
                <w:b/>
                <w:sz w:val="24"/>
              </w:rPr>
              <w:t>二、塑料瓶盖生产</w:t>
            </w:r>
          </w:p>
          <w:p>
            <w:pPr>
              <w:spacing w:line="360" w:lineRule="auto"/>
              <w:rPr>
                <w:b/>
                <w:sz w:val="24"/>
              </w:rPr>
            </w:pPr>
            <w:r>
              <w:rPr>
                <w:b/>
                <w:sz w:val="24"/>
              </w:rPr>
              <w:pict>
                <v:group id="_x0000_s2195" o:spid="_x0000_s2195" o:spt="203" style="height:227.55pt;width:396.4pt;" coordorigin="1810,9116" coordsize="7928,4551" editas="canvas">
                  <o:lock v:ext="edit"/>
                  <v:shape id="_x0000_s2196" o:spid="_x0000_s2196" o:spt="75" type="#_x0000_t75" style="position:absolute;left:1810;top:9116;height:4551;width:7928;" filled="f" o:preferrelative="t" stroked="f" coordsize="21600,21600">
                    <v:path/>
                    <v:fill on="f" focussize="0,0"/>
                    <v:stroke on="f" joinstyle="miter"/>
                    <v:imagedata o:title=""/>
                    <o:lock v:ext="edit" text="t" aspectratio="t"/>
                  </v:shape>
                  <v:shape id="文本框 1107" o:spid="_x0000_s2197" o:spt="202" type="#_x0000_t202" style="position:absolute;left:4445;top:9129;height:464;width:2048;" filled="f" stroked="f" coordsize="21600,21600">
                    <v:path/>
                    <v:fill on="f" focussize="0,0"/>
                    <v:stroke on="f" joinstyle="miter"/>
                    <v:imagedata o:title=""/>
                    <o:lock v:ext="edit"/>
                    <v:textbox>
                      <w:txbxContent>
                        <w:p>
                          <w:pPr>
                            <w:jc w:val="center"/>
                          </w:pPr>
                          <w:r>
                            <w:rPr>
                              <w:rFonts w:hint="eastAsia"/>
                            </w:rPr>
                            <w:t>PP、PE、PPT</w:t>
                          </w:r>
                        </w:p>
                      </w:txbxContent>
                    </v:textbox>
                  </v:shape>
                  <v:shape id="自选图形 1108" o:spid="_x0000_s2198" o:spt="32" type="#_x0000_t32" style="position:absolute;left:5509;top:9506;height:414;width:4;" filled="f" coordsize="21600,21600">
                    <v:path arrowok="t"/>
                    <v:fill on="f" focussize="0,0"/>
                    <v:stroke endarrow="block"/>
                    <v:imagedata o:title=""/>
                    <o:lock v:ext="edit"/>
                  </v:shape>
                  <v:shape id="文本框 1109" o:spid="_x0000_s2199" o:spt="202" type="#_x0000_t202" style="position:absolute;left:4770;top:9890;height:432;width:1536;" filled="f" coordsize="21600,21600">
                    <v:path/>
                    <v:fill on="f" focussize="0,0"/>
                    <v:stroke joinstyle="miter"/>
                    <v:imagedata o:title=""/>
                    <o:lock v:ext="edit"/>
                    <v:textbox>
                      <w:txbxContent>
                        <w:p>
                          <w:pPr>
                            <w:jc w:val="center"/>
                          </w:pPr>
                          <w:r>
                            <w:rPr>
                              <w:rFonts w:hint="eastAsia"/>
                            </w:rPr>
                            <w:t>原料验收</w:t>
                          </w:r>
                        </w:p>
                      </w:txbxContent>
                    </v:textbox>
                  </v:shape>
                  <v:shape id="文本框 1109" o:spid="_x0000_s2203" o:spt="202" type="#_x0000_t202" style="position:absolute;left:4755;top:10700;height:430;width:1520;" filled="f" coordsize="21600,21600">
                    <v:path/>
                    <v:fill on="f" focussize="0,0"/>
                    <v:stroke joinstyle="miter"/>
                    <v:imagedata o:title=""/>
                    <o:lock v:ext="edit"/>
                    <v:textbox>
                      <w:txbxContent>
                        <w:p>
                          <w:pPr>
                            <w:jc w:val="center"/>
                          </w:pPr>
                          <w:r>
                            <w:rPr>
                              <w:rFonts w:hint="eastAsia"/>
                            </w:rPr>
                            <w:t>混料</w:t>
                          </w:r>
                        </w:p>
                      </w:txbxContent>
                    </v:textbox>
                  </v:shape>
                  <v:shape id="文本框 1109" o:spid="_x0000_s2205" o:spt="202" type="#_x0000_t202" style="position:absolute;left:4744;top:11524;height:430;width:1520;" filled="f" coordsize="21600,21600">
                    <v:path/>
                    <v:fill on="f" focussize="0,0"/>
                    <v:stroke joinstyle="miter"/>
                    <v:imagedata o:title=""/>
                    <o:lock v:ext="edit"/>
                    <v:textbox>
                      <w:txbxContent>
                        <w:p>
                          <w:pPr>
                            <w:jc w:val="center"/>
                          </w:pPr>
                          <w:r>
                            <w:rPr>
                              <w:rFonts w:hint="eastAsia"/>
                            </w:rPr>
                            <w:t>注塑</w:t>
                          </w:r>
                        </w:p>
                      </w:txbxContent>
                    </v:textbox>
                  </v:shape>
                  <v:shape id="自选图形 1120" o:spid="_x0000_s2206" o:spt="32" type="#_x0000_t32" style="position:absolute;left:6268;top:11736;height:0;width:820;" filled="f" coordsize="21600,21600">
                    <v:path arrowok="t"/>
                    <v:fill on="f" focussize="0,0"/>
                    <v:stroke dashstyle="dash" endarrow="block"/>
                    <v:imagedata o:title=""/>
                    <o:lock v:ext="edit"/>
                  </v:shape>
                  <v:shape id="文本框 1109" o:spid="_x0000_s2207" o:spt="202" type="#_x0000_t202" style="position:absolute;left:7080;top:11525;height:441;width:1740;" filled="f" coordsize="21600,21600">
                    <v:path/>
                    <v:fill on="f" focussize="0,0"/>
                    <v:stroke dashstyle="dash"/>
                    <v:imagedata o:title=""/>
                    <o:lock v:ext="edit"/>
                    <v:textbox>
                      <w:txbxContent>
                        <w:p>
                          <w:r>
                            <w:rPr>
                              <w:rFonts w:hint="eastAsia"/>
                            </w:rPr>
                            <w:t>G2-1：有机废气</w:t>
                          </w:r>
                        </w:p>
                      </w:txbxContent>
                    </v:textbox>
                  </v:shape>
                  <v:shape id="自选图形 1108" o:spid="_x0000_s2208" o:spt="32" type="#_x0000_t32" style="position:absolute;left:5531;top:10325;height:400;width:0;" filled="f" coordsize="21600,21600">
                    <v:path arrowok="t"/>
                    <v:fill on="f" focussize="0,0"/>
                    <v:stroke endarrow="block"/>
                    <v:imagedata o:title=""/>
                    <o:lock v:ext="edit"/>
                  </v:shape>
                  <v:shape id="自选图形 1108" o:spid="_x0000_s2209" o:spt="32" type="#_x0000_t32" style="position:absolute;left:5530;top:11136;height:400;width:0;" filled="f" coordsize="21600,21600">
                    <v:path arrowok="t"/>
                    <v:fill on="f" focussize="0,0"/>
                    <v:stroke endarrow="block"/>
                    <v:imagedata o:title=""/>
                    <o:lock v:ext="edit"/>
                  </v:shape>
                  <v:shape id="自选图形 1108" o:spid="_x0000_s2210" o:spt="32" type="#_x0000_t32" style="position:absolute;left:5505;top:11961;height:400;width:0;" filled="f" coordsize="21600,21600">
                    <v:path arrowok="t"/>
                    <v:fill on="f" focussize="0,0"/>
                    <v:stroke endarrow="block"/>
                    <v:imagedata o:title=""/>
                    <o:lock v:ext="edit"/>
                  </v:shape>
                  <v:shape id="文本框 1109" o:spid="_x0000_s2211" o:spt="202" type="#_x0000_t202" style="position:absolute;left:4755;top:12349;height:420;width:1520;" filled="f" coordsize="21600,21600">
                    <v:path/>
                    <v:fill on="f" focussize="0,0"/>
                    <v:stroke joinstyle="miter"/>
                    <v:imagedata o:title=""/>
                    <o:lock v:ext="edit"/>
                    <v:textbox>
                      <w:txbxContent>
                        <w:p>
                          <w:pPr>
                            <w:jc w:val="center"/>
                          </w:pPr>
                          <w:r>
                            <w:rPr>
                              <w:rFonts w:hint="eastAsia"/>
                            </w:rPr>
                            <w:t>检验</w:t>
                          </w:r>
                        </w:p>
                      </w:txbxContent>
                    </v:textbox>
                  </v:shape>
                  <v:shape id="自选图形 1120" o:spid="_x0000_s2212" o:spt="32" type="#_x0000_t32" style="position:absolute;left:6293;top:12549;height:0;width:820;" filled="f" coordsize="21600,21600">
                    <v:path arrowok="t"/>
                    <v:fill on="f" focussize="0,0"/>
                    <v:stroke dashstyle="dash" endarrow="block"/>
                    <v:imagedata o:title=""/>
                    <o:lock v:ext="edit"/>
                  </v:shape>
                  <v:shape id="文本框 1109" o:spid="_x0000_s2213" o:spt="202" type="#_x0000_t202" style="position:absolute;left:7106;top:12374;height:440;width:1740;" filled="f" coordsize="21600,21600">
                    <v:path/>
                    <v:fill on="f" focussize="0,0"/>
                    <v:stroke dashstyle="dash"/>
                    <v:imagedata o:title=""/>
                    <o:lock v:ext="edit"/>
                    <v:textbox>
                      <w:txbxContent>
                        <w:p>
                          <w:r>
                            <w:rPr>
                              <w:rFonts w:hint="eastAsia"/>
                            </w:rPr>
                            <w:t>S2-1：不合格品</w:t>
                          </w:r>
                        </w:p>
                      </w:txbxContent>
                    </v:textbox>
                  </v:shape>
                  <v:shape id="自选图形 1108" o:spid="_x0000_s2214" o:spt="32" type="#_x0000_t32" style="position:absolute;left:5506;top:12774;height:400;width:0;" filled="f" coordsize="21600,21600">
                    <v:path arrowok="t"/>
                    <v:fill on="f" focussize="0,0"/>
                    <v:stroke endarrow="block"/>
                    <v:imagedata o:title=""/>
                    <o:lock v:ext="edit"/>
                  </v:shape>
                  <v:shape id="_x0000_s2215" o:spid="_x0000_s2215" o:spt="202" type="#_x0000_t202" style="position:absolute;left:4919;top:13162;height:460;width:1314;"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包装入库</w:t>
                          </w:r>
                        </w:p>
                      </w:txbxContent>
                    </v:textbox>
                  </v:shape>
                  <v:line id="_x0000_s2216" o:spid="_x0000_s2216" o:spt="20" style="position:absolute;left:4031;top:11749;height:0;width:720;" coordsize="21600,21600">
                    <v:path arrowok="t"/>
                    <v:fill focussize="0,0"/>
                    <v:stroke endarrow="block"/>
                    <v:imagedata o:title=""/>
                    <o:lock v:ext="edit"/>
                  </v:line>
                  <v:shape id="_x0000_s2217" o:spid="_x0000_s2217" o:spt="202" type="#_x0000_t202" style="position:absolute;left:3143;top:11549;height:460;width:1040;"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冷却水</w:t>
                          </w:r>
                        </w:p>
                      </w:txbxContent>
                    </v:textbox>
                  </v:shape>
                  <w10:wrap type="none"/>
                  <w10:anchorlock/>
                </v:group>
              </w:pict>
            </w:r>
          </w:p>
          <w:p>
            <w:pPr>
              <w:snapToGrid w:val="0"/>
              <w:spacing w:line="360" w:lineRule="auto"/>
              <w:jc w:val="center"/>
              <w:rPr>
                <w:b/>
                <w:bCs/>
                <w:sz w:val="24"/>
              </w:rPr>
            </w:pPr>
            <w:r>
              <w:rPr>
                <w:b/>
                <w:bCs/>
                <w:sz w:val="24"/>
              </w:rPr>
              <w:t>图</w:t>
            </w:r>
            <w:r>
              <w:rPr>
                <w:rFonts w:hint="eastAsia"/>
                <w:b/>
                <w:bCs/>
                <w:sz w:val="24"/>
              </w:rPr>
              <w:t>2-3</w:t>
            </w:r>
            <w:r>
              <w:rPr>
                <w:b/>
                <w:bCs/>
                <w:sz w:val="24"/>
              </w:rPr>
              <w:t xml:space="preserve">  </w:t>
            </w:r>
            <w:r>
              <w:rPr>
                <w:rFonts w:hint="eastAsia"/>
                <w:b/>
                <w:sz w:val="24"/>
              </w:rPr>
              <w:t>塑料瓶盖生产</w:t>
            </w:r>
            <w:r>
              <w:rPr>
                <w:b/>
                <w:bCs/>
                <w:sz w:val="24"/>
              </w:rPr>
              <w:t>工艺流程及产污环节图</w:t>
            </w:r>
          </w:p>
          <w:p>
            <w:pPr>
              <w:snapToGrid w:val="0"/>
              <w:spacing w:line="360" w:lineRule="auto"/>
              <w:ind w:firstLine="482" w:firstLineChars="200"/>
              <w:rPr>
                <w:rFonts w:hAnsi="宋体"/>
                <w:bCs/>
                <w:sz w:val="24"/>
              </w:rPr>
            </w:pPr>
            <w:r>
              <w:rPr>
                <w:rFonts w:hAnsi="宋体"/>
                <w:b/>
                <w:sz w:val="24"/>
              </w:rPr>
              <w:t>生产工艺流程说明：</w:t>
            </w:r>
          </w:p>
          <w:p>
            <w:pPr>
              <w:spacing w:line="360" w:lineRule="auto"/>
              <w:ind w:firstLine="480" w:firstLineChars="200"/>
              <w:rPr>
                <w:rFonts w:hAnsi="宋体"/>
                <w:bCs/>
                <w:sz w:val="24"/>
              </w:rPr>
            </w:pPr>
            <w:r>
              <w:rPr>
                <w:rFonts w:hAnsi="宋体"/>
                <w:bCs/>
                <w:sz w:val="24"/>
              </w:rPr>
              <w:t>（</w:t>
            </w:r>
            <w:r>
              <w:rPr>
                <w:bCs/>
                <w:sz w:val="24"/>
              </w:rPr>
              <w:t>1</w:t>
            </w:r>
            <w:r>
              <w:rPr>
                <w:rFonts w:hAnsi="宋体"/>
                <w:bCs/>
                <w:sz w:val="24"/>
              </w:rPr>
              <w:t>）</w:t>
            </w:r>
            <w:r>
              <w:rPr>
                <w:rFonts w:hint="eastAsia" w:hAnsi="宋体"/>
                <w:bCs/>
                <w:sz w:val="24"/>
              </w:rPr>
              <w:t>原料验收：对外购的塑料颗粒进行验收，合格的投入生产，不合格的收集发回厂家处理，重新发货。</w:t>
            </w:r>
          </w:p>
          <w:p>
            <w:pPr>
              <w:spacing w:line="360" w:lineRule="auto"/>
              <w:ind w:firstLine="480" w:firstLineChars="200"/>
              <w:rPr>
                <w:rFonts w:hAnsi="宋体"/>
                <w:bCs/>
                <w:sz w:val="24"/>
              </w:rPr>
            </w:pPr>
            <w:r>
              <w:rPr>
                <w:rFonts w:hint="eastAsia" w:hAnsi="宋体"/>
                <w:bCs/>
                <w:sz w:val="24"/>
              </w:rPr>
              <w:t>（2）混料：按照产品要求，对塑料颗粒配比后混合，主要产生机械设备噪声。</w:t>
            </w:r>
          </w:p>
          <w:p>
            <w:pPr>
              <w:spacing w:line="360" w:lineRule="auto"/>
              <w:ind w:firstLine="480" w:firstLineChars="200"/>
              <w:rPr>
                <w:rFonts w:hAnsi="宋体"/>
                <w:bCs/>
                <w:sz w:val="24"/>
              </w:rPr>
            </w:pPr>
            <w:r>
              <w:rPr>
                <w:rFonts w:hint="eastAsia" w:hAnsi="宋体"/>
                <w:bCs/>
                <w:sz w:val="24"/>
              </w:rPr>
              <w:t>（3）注塑：注塑机注塑工作温度为200℃左右，使颗粒融化，通过挤出口将塑料熔体挤入模具中，采用冷却水塔进行间接冷却，使产品定型，此过程主要产生有机废气（G2-1）、不合格品（S2-1）和机械设备噪声。</w:t>
            </w:r>
          </w:p>
          <w:p>
            <w:pPr>
              <w:spacing w:line="360" w:lineRule="auto"/>
              <w:ind w:firstLine="480" w:firstLineChars="200"/>
              <w:rPr>
                <w:b/>
                <w:sz w:val="24"/>
              </w:rPr>
            </w:pPr>
            <w:r>
              <w:rPr>
                <w:rFonts w:hint="eastAsia" w:hAnsi="宋体"/>
                <w:bCs/>
                <w:sz w:val="24"/>
              </w:rPr>
              <w:t>（4）检验包装入库：对冷却后的成品进行检验，不合格品集中收集。</w:t>
            </w:r>
          </w:p>
          <w:p>
            <w:pPr>
              <w:snapToGrid w:val="0"/>
              <w:spacing w:line="360" w:lineRule="auto"/>
              <w:ind w:firstLine="482" w:firstLineChars="200"/>
              <w:jc w:val="left"/>
              <w:rPr>
                <w:rFonts w:hint="eastAsia"/>
                <w:b/>
                <w:sz w:val="24"/>
              </w:rPr>
            </w:pPr>
          </w:p>
          <w:p>
            <w:pPr>
              <w:snapToGrid w:val="0"/>
              <w:spacing w:line="360" w:lineRule="auto"/>
              <w:ind w:firstLine="482" w:firstLineChars="200"/>
              <w:jc w:val="left"/>
              <w:rPr>
                <w:rFonts w:hint="eastAsia"/>
                <w:b/>
                <w:sz w:val="24"/>
              </w:rPr>
            </w:pPr>
          </w:p>
          <w:p>
            <w:pPr>
              <w:snapToGrid w:val="0"/>
              <w:spacing w:line="360" w:lineRule="auto"/>
              <w:ind w:firstLine="482" w:firstLineChars="200"/>
              <w:jc w:val="left"/>
              <w:rPr>
                <w:rFonts w:hint="eastAsia"/>
                <w:b/>
                <w:sz w:val="24"/>
              </w:rPr>
            </w:pPr>
          </w:p>
          <w:p>
            <w:pPr>
              <w:snapToGrid w:val="0"/>
              <w:spacing w:line="360" w:lineRule="auto"/>
              <w:ind w:firstLine="482" w:firstLineChars="200"/>
              <w:jc w:val="left"/>
              <w:rPr>
                <w:rFonts w:hint="eastAsia"/>
                <w:b/>
                <w:sz w:val="24"/>
              </w:rPr>
            </w:pPr>
          </w:p>
          <w:p>
            <w:pPr>
              <w:snapToGrid w:val="0"/>
              <w:spacing w:line="360" w:lineRule="auto"/>
              <w:ind w:firstLine="482" w:firstLineChars="200"/>
              <w:jc w:val="left"/>
              <w:rPr>
                <w:rFonts w:hint="eastAsia"/>
                <w:b/>
                <w:sz w:val="24"/>
              </w:rPr>
            </w:pPr>
          </w:p>
          <w:p>
            <w:pPr>
              <w:snapToGrid w:val="0"/>
              <w:spacing w:line="360" w:lineRule="auto"/>
              <w:ind w:firstLine="482" w:firstLineChars="200"/>
              <w:jc w:val="left"/>
              <w:rPr>
                <w:rFonts w:hint="eastAsia"/>
                <w:b/>
                <w:sz w:val="24"/>
              </w:rPr>
            </w:pPr>
          </w:p>
          <w:p>
            <w:pPr>
              <w:snapToGrid w:val="0"/>
              <w:spacing w:line="360" w:lineRule="auto"/>
              <w:ind w:firstLine="482" w:firstLineChars="200"/>
              <w:jc w:val="left"/>
              <w:rPr>
                <w:rFonts w:hint="eastAsia"/>
                <w:b/>
                <w:sz w:val="24"/>
              </w:rPr>
            </w:pPr>
          </w:p>
          <w:p>
            <w:pPr>
              <w:snapToGrid w:val="0"/>
              <w:spacing w:line="360" w:lineRule="auto"/>
              <w:ind w:firstLine="482" w:firstLineChars="200"/>
              <w:jc w:val="left"/>
              <w:rPr>
                <w:rFonts w:hint="eastAsia"/>
                <w:b/>
                <w:sz w:val="24"/>
              </w:rPr>
            </w:pPr>
          </w:p>
          <w:p>
            <w:pPr>
              <w:snapToGrid w:val="0"/>
              <w:spacing w:line="360" w:lineRule="auto"/>
              <w:ind w:firstLine="482" w:firstLineChars="200"/>
              <w:jc w:val="left"/>
              <w:rPr>
                <w:b/>
                <w:sz w:val="24"/>
              </w:rPr>
            </w:pPr>
            <w:r>
              <w:rPr>
                <w:rFonts w:hint="eastAsia"/>
                <w:b/>
                <w:sz w:val="24"/>
              </w:rPr>
              <w:t>三、塑料瓶身生产</w:t>
            </w:r>
          </w:p>
          <w:p>
            <w:pPr>
              <w:spacing w:line="360" w:lineRule="auto"/>
              <w:rPr>
                <w:b/>
                <w:sz w:val="24"/>
              </w:rPr>
            </w:pPr>
            <w:r>
              <w:rPr>
                <w:b/>
                <w:sz w:val="24"/>
              </w:rPr>
              <w:pict>
                <v:group id="_x0000_s2218" o:spid="_x0000_s2218" o:spt="203" style="height:227.55pt;width:396.4pt;" coordorigin="1810,9116" coordsize="7928,4551" editas="canvas">
                  <o:lock v:ext="edit"/>
                  <v:shape id="_x0000_s2219" o:spid="_x0000_s2219" o:spt="75" type="#_x0000_t75" style="position:absolute;left:1810;top:9116;height:4551;width:7928;" filled="f" o:preferrelative="t" stroked="f" coordsize="21600,21600">
                    <v:path/>
                    <v:fill on="f" focussize="0,0"/>
                    <v:stroke on="f" joinstyle="miter"/>
                    <v:imagedata o:title=""/>
                    <o:lock v:ext="edit" text="t" aspectratio="t"/>
                  </v:shape>
                  <v:shape id="文本框 1107" o:spid="_x0000_s2220" o:spt="202" type="#_x0000_t202" style="position:absolute;left:4445;top:9129;height:464;width:2048;" filled="f" stroked="f" coordsize="21600,21600">
                    <v:path/>
                    <v:fill on="f" focussize="0,0"/>
                    <v:stroke on="f" joinstyle="miter"/>
                    <v:imagedata o:title=""/>
                    <o:lock v:ext="edit"/>
                    <v:textbox>
                      <w:txbxContent>
                        <w:p>
                          <w:pPr>
                            <w:jc w:val="center"/>
                          </w:pPr>
                          <w:r>
                            <w:rPr>
                              <w:rFonts w:hint="eastAsia"/>
                            </w:rPr>
                            <w:t>PP、PE、PPT</w:t>
                          </w:r>
                        </w:p>
                      </w:txbxContent>
                    </v:textbox>
                  </v:shape>
                  <v:shape id="自选图形 1108" o:spid="_x0000_s2221" o:spt="32" type="#_x0000_t32" style="position:absolute;left:5509;top:9506;height:414;width:4;" filled="f" coordsize="21600,21600">
                    <v:path arrowok="t"/>
                    <v:fill on="f" focussize="0,0"/>
                    <v:stroke endarrow="block"/>
                    <v:imagedata o:title=""/>
                    <o:lock v:ext="edit"/>
                  </v:shape>
                  <v:shape id="文本框 1109" o:spid="_x0000_s2222" o:spt="202" type="#_x0000_t202" style="position:absolute;left:4770;top:9890;height:432;width:1536;" filled="f" coordsize="21600,21600">
                    <v:path/>
                    <v:fill on="f" focussize="0,0"/>
                    <v:stroke joinstyle="miter"/>
                    <v:imagedata o:title=""/>
                    <o:lock v:ext="edit"/>
                    <v:textbox>
                      <w:txbxContent>
                        <w:p>
                          <w:pPr>
                            <w:jc w:val="center"/>
                          </w:pPr>
                          <w:r>
                            <w:rPr>
                              <w:rFonts w:hint="eastAsia"/>
                            </w:rPr>
                            <w:t>原料验收</w:t>
                          </w:r>
                        </w:p>
                      </w:txbxContent>
                    </v:textbox>
                  </v:shape>
                  <v:shape id="文本框 1109" o:spid="_x0000_s2223" o:spt="202" type="#_x0000_t202" style="position:absolute;left:4755;top:10700;height:430;width:1520;" filled="f" coordsize="21600,21600">
                    <v:path/>
                    <v:fill on="f" focussize="0,0"/>
                    <v:stroke joinstyle="miter"/>
                    <v:imagedata o:title=""/>
                    <o:lock v:ext="edit"/>
                    <v:textbox>
                      <w:txbxContent>
                        <w:p>
                          <w:pPr>
                            <w:jc w:val="center"/>
                          </w:pPr>
                          <w:r>
                            <w:rPr>
                              <w:rFonts w:hint="eastAsia"/>
                            </w:rPr>
                            <w:t>混料</w:t>
                          </w:r>
                        </w:p>
                      </w:txbxContent>
                    </v:textbox>
                  </v:shape>
                  <v:shape id="文本框 1109" o:spid="_x0000_s2224" o:spt="202" type="#_x0000_t202" style="position:absolute;left:4744;top:11524;height:430;width:1520;" filled="f" coordsize="21600,21600">
                    <v:path/>
                    <v:fill on="f" focussize="0,0"/>
                    <v:stroke joinstyle="miter"/>
                    <v:imagedata o:title=""/>
                    <o:lock v:ext="edit"/>
                    <v:textbox>
                      <w:txbxContent>
                        <w:p>
                          <w:pPr>
                            <w:jc w:val="center"/>
                          </w:pPr>
                          <w:r>
                            <w:rPr>
                              <w:rFonts w:hint="eastAsia"/>
                            </w:rPr>
                            <w:t>注塑、吹塑</w:t>
                          </w:r>
                        </w:p>
                      </w:txbxContent>
                    </v:textbox>
                  </v:shape>
                  <v:shape id="自选图形 1120" o:spid="_x0000_s2225" o:spt="32" type="#_x0000_t32" style="position:absolute;left:6268;top:11736;height:0;width:820;" filled="f" coordsize="21600,21600">
                    <v:path arrowok="t"/>
                    <v:fill on="f" focussize="0,0"/>
                    <v:stroke dashstyle="dash" endarrow="block"/>
                    <v:imagedata o:title=""/>
                    <o:lock v:ext="edit"/>
                  </v:shape>
                  <v:shape id="文本框 1109" o:spid="_x0000_s2226" o:spt="202" type="#_x0000_t202" style="position:absolute;left:7080;top:11525;height:441;width:1740;" filled="f" coordsize="21600,21600">
                    <v:path/>
                    <v:fill on="f" focussize="0,0"/>
                    <v:stroke dashstyle="dash"/>
                    <v:imagedata o:title=""/>
                    <o:lock v:ext="edit"/>
                    <v:textbox>
                      <w:txbxContent>
                        <w:p>
                          <w:r>
                            <w:rPr>
                              <w:rFonts w:hint="eastAsia"/>
                            </w:rPr>
                            <w:t>G3-1：有机废气</w:t>
                          </w:r>
                        </w:p>
                      </w:txbxContent>
                    </v:textbox>
                  </v:shape>
                  <v:shape id="自选图形 1108" o:spid="_x0000_s2227" o:spt="32" type="#_x0000_t32" style="position:absolute;left:5531;top:10325;height:400;width:0;" filled="f" coordsize="21600,21600">
                    <v:path arrowok="t"/>
                    <v:fill on="f" focussize="0,0"/>
                    <v:stroke endarrow="block"/>
                    <v:imagedata o:title=""/>
                    <o:lock v:ext="edit"/>
                  </v:shape>
                  <v:shape id="自选图形 1108" o:spid="_x0000_s2228" o:spt="32" type="#_x0000_t32" style="position:absolute;left:5530;top:11136;height:400;width:0;" filled="f" coordsize="21600,21600">
                    <v:path arrowok="t"/>
                    <v:fill on="f" focussize="0,0"/>
                    <v:stroke endarrow="block"/>
                    <v:imagedata o:title=""/>
                    <o:lock v:ext="edit"/>
                  </v:shape>
                  <v:shape id="自选图形 1108" o:spid="_x0000_s2229" o:spt="32" type="#_x0000_t32" style="position:absolute;left:5505;top:11961;height:400;width:0;" filled="f" coordsize="21600,21600">
                    <v:path arrowok="t"/>
                    <v:fill on="f" focussize="0,0"/>
                    <v:stroke endarrow="block"/>
                    <v:imagedata o:title=""/>
                    <o:lock v:ext="edit"/>
                  </v:shape>
                  <v:shape id="文本框 1109" o:spid="_x0000_s2230" o:spt="202" type="#_x0000_t202" style="position:absolute;left:4755;top:12349;height:420;width:1520;" filled="f" coordsize="21600,21600">
                    <v:path/>
                    <v:fill on="f" focussize="0,0"/>
                    <v:stroke joinstyle="miter"/>
                    <v:imagedata o:title=""/>
                    <o:lock v:ext="edit"/>
                    <v:textbox>
                      <w:txbxContent>
                        <w:p>
                          <w:pPr>
                            <w:jc w:val="center"/>
                          </w:pPr>
                          <w:r>
                            <w:rPr>
                              <w:rFonts w:hint="eastAsia"/>
                            </w:rPr>
                            <w:t>检验</w:t>
                          </w:r>
                        </w:p>
                      </w:txbxContent>
                    </v:textbox>
                  </v:shape>
                  <v:shape id="自选图形 1120" o:spid="_x0000_s2231" o:spt="32" type="#_x0000_t32" style="position:absolute;left:6293;top:12549;height:0;width:820;" filled="f" coordsize="21600,21600">
                    <v:path arrowok="t"/>
                    <v:fill on="f" focussize="0,0"/>
                    <v:stroke dashstyle="dash" endarrow="block"/>
                    <v:imagedata o:title=""/>
                    <o:lock v:ext="edit"/>
                  </v:shape>
                  <v:shape id="文本框 1109" o:spid="_x0000_s2232" o:spt="202" type="#_x0000_t202" style="position:absolute;left:7106;top:12374;height:440;width:1740;" filled="f" coordsize="21600,21600">
                    <v:path/>
                    <v:fill on="f" focussize="0,0"/>
                    <v:stroke dashstyle="dash"/>
                    <v:imagedata o:title=""/>
                    <o:lock v:ext="edit"/>
                    <v:textbox>
                      <w:txbxContent>
                        <w:p>
                          <w:r>
                            <w:rPr>
                              <w:rFonts w:hint="eastAsia"/>
                            </w:rPr>
                            <w:t>S3-1：不合格品</w:t>
                          </w:r>
                        </w:p>
                      </w:txbxContent>
                    </v:textbox>
                  </v:shape>
                  <v:shape id="自选图形 1108" o:spid="_x0000_s2233" o:spt="32" type="#_x0000_t32" style="position:absolute;left:5506;top:12774;height:400;width:0;" filled="f" coordsize="21600,21600">
                    <v:path arrowok="t"/>
                    <v:fill on="f" focussize="0,0"/>
                    <v:stroke endarrow="block"/>
                    <v:imagedata o:title=""/>
                    <o:lock v:ext="edit"/>
                  </v:shape>
                  <v:shape id="_x0000_s2234" o:spid="_x0000_s2234" o:spt="202" type="#_x0000_t202" style="position:absolute;left:4919;top:13162;height:460;width:1314;"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包装入库</w:t>
                          </w:r>
                        </w:p>
                      </w:txbxContent>
                    </v:textbox>
                  </v:shape>
                  <v:line id="_x0000_s2235" o:spid="_x0000_s2235" o:spt="20" style="position:absolute;left:4031;top:11749;height:0;width:720;" coordsize="21600,21600">
                    <v:path arrowok="t"/>
                    <v:fill focussize="0,0"/>
                    <v:stroke endarrow="block"/>
                    <v:imagedata o:title=""/>
                    <o:lock v:ext="edit"/>
                  </v:line>
                  <v:shape id="_x0000_s2236" o:spid="_x0000_s2236" o:spt="202" type="#_x0000_t202" style="position:absolute;left:3143;top:11549;height:460;width:1040;"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冷却水</w:t>
                          </w:r>
                        </w:p>
                      </w:txbxContent>
                    </v:textbox>
                  </v:shape>
                  <w10:wrap type="none"/>
                  <w10:anchorlock/>
                </v:group>
              </w:pict>
            </w:r>
          </w:p>
          <w:p>
            <w:pPr>
              <w:snapToGrid w:val="0"/>
              <w:spacing w:line="360" w:lineRule="auto"/>
              <w:jc w:val="center"/>
              <w:rPr>
                <w:b/>
                <w:bCs/>
                <w:sz w:val="24"/>
              </w:rPr>
            </w:pPr>
            <w:r>
              <w:rPr>
                <w:b/>
                <w:bCs/>
                <w:sz w:val="24"/>
              </w:rPr>
              <w:t>图</w:t>
            </w:r>
            <w:r>
              <w:rPr>
                <w:rFonts w:hint="eastAsia"/>
                <w:b/>
                <w:bCs/>
                <w:sz w:val="24"/>
              </w:rPr>
              <w:t>2-4</w:t>
            </w:r>
            <w:r>
              <w:rPr>
                <w:b/>
                <w:bCs/>
                <w:sz w:val="24"/>
              </w:rPr>
              <w:t xml:space="preserve">  </w:t>
            </w:r>
            <w:r>
              <w:rPr>
                <w:rFonts w:hint="eastAsia"/>
                <w:b/>
                <w:sz w:val="24"/>
              </w:rPr>
              <w:t>塑料瓶身生产</w:t>
            </w:r>
            <w:r>
              <w:rPr>
                <w:b/>
                <w:bCs/>
                <w:sz w:val="24"/>
              </w:rPr>
              <w:t>工艺流程及产污环节图</w:t>
            </w:r>
          </w:p>
          <w:p>
            <w:pPr>
              <w:snapToGrid w:val="0"/>
              <w:spacing w:line="360" w:lineRule="auto"/>
              <w:ind w:firstLine="482" w:firstLineChars="200"/>
              <w:rPr>
                <w:rFonts w:hAnsi="宋体"/>
                <w:bCs/>
                <w:sz w:val="24"/>
              </w:rPr>
            </w:pPr>
            <w:r>
              <w:rPr>
                <w:rFonts w:hAnsi="宋体"/>
                <w:b/>
                <w:sz w:val="24"/>
              </w:rPr>
              <w:t>生产工艺流程说明：</w:t>
            </w:r>
          </w:p>
          <w:p>
            <w:pPr>
              <w:spacing w:line="360" w:lineRule="auto"/>
              <w:ind w:firstLine="480" w:firstLineChars="200"/>
              <w:rPr>
                <w:rFonts w:hAnsi="宋体"/>
                <w:bCs/>
                <w:sz w:val="24"/>
              </w:rPr>
            </w:pPr>
            <w:r>
              <w:rPr>
                <w:rFonts w:hAnsi="宋体"/>
                <w:bCs/>
                <w:sz w:val="24"/>
              </w:rPr>
              <w:t>（</w:t>
            </w:r>
            <w:r>
              <w:rPr>
                <w:bCs/>
                <w:sz w:val="24"/>
              </w:rPr>
              <w:t>1</w:t>
            </w:r>
            <w:r>
              <w:rPr>
                <w:rFonts w:hAnsi="宋体"/>
                <w:bCs/>
                <w:sz w:val="24"/>
              </w:rPr>
              <w:t>）</w:t>
            </w:r>
            <w:r>
              <w:rPr>
                <w:rFonts w:hint="eastAsia" w:hAnsi="宋体"/>
                <w:bCs/>
                <w:sz w:val="24"/>
              </w:rPr>
              <w:t>原料验收：对外购的塑料颗粒进行验收，合格的投入生产，不合格的收集发回厂家处理，重新发货。</w:t>
            </w:r>
          </w:p>
          <w:p>
            <w:pPr>
              <w:spacing w:line="360" w:lineRule="auto"/>
              <w:ind w:firstLine="480" w:firstLineChars="200"/>
              <w:rPr>
                <w:rFonts w:hAnsi="宋体"/>
                <w:bCs/>
                <w:sz w:val="24"/>
              </w:rPr>
            </w:pPr>
            <w:r>
              <w:rPr>
                <w:rFonts w:hint="eastAsia" w:hAnsi="宋体"/>
                <w:bCs/>
                <w:sz w:val="24"/>
              </w:rPr>
              <w:t>（2）混料：按照产品要求，对塑料颗粒配比后混合，主要产生机械设备噪声。</w:t>
            </w:r>
          </w:p>
          <w:p>
            <w:pPr>
              <w:spacing w:line="360" w:lineRule="auto"/>
              <w:ind w:firstLine="480" w:firstLineChars="200"/>
              <w:rPr>
                <w:rFonts w:hAnsi="宋体"/>
                <w:bCs/>
                <w:sz w:val="24"/>
              </w:rPr>
            </w:pPr>
            <w:r>
              <w:rPr>
                <w:rFonts w:hint="eastAsia" w:hAnsi="宋体"/>
                <w:bCs/>
                <w:sz w:val="24"/>
              </w:rPr>
              <w:t>（3）注塑吹塑：注塑机注塑工作温度为200℃左右，使塑料颗粒融化，通过挤出口将塑料熔体挤入闭合模腔中，然后经高压气流吹成型，采用冷却水塔进行间接冷却，使产品定型，此过程主要产生有机废气（G3-1）、不合格品（S3-1）和机械设备噪声。</w:t>
            </w:r>
          </w:p>
          <w:p>
            <w:pPr>
              <w:spacing w:line="360" w:lineRule="auto"/>
              <w:ind w:firstLine="480" w:firstLineChars="200"/>
              <w:rPr>
                <w:b/>
                <w:sz w:val="24"/>
              </w:rPr>
            </w:pPr>
            <w:r>
              <w:rPr>
                <w:rFonts w:hint="eastAsia" w:hAnsi="宋体"/>
                <w:bCs/>
                <w:sz w:val="24"/>
              </w:rPr>
              <w:t>（4）检验包装入库：对冷却后的成品进行检验，不合格品集中收集。</w:t>
            </w:r>
          </w:p>
          <w:p>
            <w:pPr>
              <w:spacing w:line="360" w:lineRule="auto"/>
              <w:ind w:firstLine="482" w:firstLineChars="200"/>
              <w:rPr>
                <w:b/>
                <w:sz w:val="24"/>
              </w:rPr>
            </w:pPr>
            <w:r>
              <w:rPr>
                <w:rFonts w:hint="eastAsia"/>
                <w:b/>
                <w:sz w:val="24"/>
              </w:rPr>
              <w:t>四、粉碎工序</w:t>
            </w:r>
          </w:p>
          <w:p>
            <w:pPr>
              <w:spacing w:line="360" w:lineRule="auto"/>
              <w:rPr>
                <w:b/>
                <w:sz w:val="24"/>
              </w:rPr>
            </w:pPr>
            <w:r>
              <w:rPr>
                <w:sz w:val="24"/>
              </w:rPr>
              <w:pict>
                <v:group id="画布 26" o:spid="_x0000_s2245" o:spt="203" style="height:95.1pt;width:406.6pt;" coordsize="51638,12076" editas="canvas">
                  <o:lock v:ext="edit"/>
                  <v:rect id="画布 26" o:spid="_x0000_s2244" o:spt="1" style="position:absolute;left:0;top:0;height:12076;width:51638;" fillcolor="#FFFFFF" filled="t" stroked="f" coordsize="21600,21600">
                    <v:path/>
                    <v:fill on="t" color2="#FFFFFF" focussize="0,0"/>
                    <v:stroke on="f"/>
                    <v:imagedata o:title=""/>
                    <o:lock v:ext="edit" aspectratio="t"/>
                  </v:rect>
                  <v:rect id="矩形 9" o:spid="_x0000_s2237" o:spt="1" style="position:absolute;left:12979;top:260;height:3061;width:24193;" filled="f" stroked="f" coordsize="21600,21600" o:gfxdata="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ebFHnXAAAABQEAAA8AAAAAAAAAAQAgAAAAIgAAAGRycy9kb3du&#10;cmV2LnhtbFBLAQIUABQAAAAIAIdO4kATzKdoxwEAAHEDAAAOAAAAAAAAAAEAIAAAACYBAABkcnMv&#10;ZTJvRG9jLnhtbFBLBQYAAAAABgAGAFkBAABfBQAAAAA=&#10;">
                    <v:path/>
                    <v:fill on="f" focussize="0,0"/>
                    <v:stroke on="f"/>
                    <v:imagedata o:title=""/>
                    <o:lock v:ext="edit" aspectratio="f"/>
                    <v:textbox>
                      <w:txbxContent>
                        <w:p>
                          <w:pPr>
                            <w:jc w:val="center"/>
                          </w:pPr>
                          <w:r>
                            <w:rPr>
                              <w:rFonts w:hint="eastAsia"/>
                            </w:rPr>
                            <w:t>废边角料、不合格品</w:t>
                          </w:r>
                        </w:p>
                      </w:txbxContent>
                    </v:textbox>
                  </v:rect>
                  <v:shape id="自选图形 12" o:spid="_x0000_s2238" o:spt="32" type="#_x0000_t32" style="position:absolute;left:24961;top:2698;flip:x;height:2070;width:13;" filled="f" stroked="t" coordsize="21600,21600" o:gfxdata="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G9ti1gAAAAUBAAAPAAAAAAAAAAEA&#10;IAAAACIAAABkcnMvZG93bnJldi54bWxQSwECFAAUAAAACACHTuJAYM5+0RECAAAABAAADgAAAAAA&#10;AAABACAAAAAlAQAAZHJzL2Uyb0RvYy54bWxQSwUGAAAAAAYABgBZAQAAqAUAAAAA&#10;">
                    <v:path arrowok="t"/>
                    <v:fill on="f" focussize="0,0"/>
                    <v:stroke color="#000000" endarrow="block"/>
                    <v:imagedata o:title=""/>
                    <o:lock v:ext="edit" aspectratio="f"/>
                  </v:shape>
                  <v:rect id="矩形 25" o:spid="_x0000_s2239" o:spt="1" style="position:absolute;left:18993;top:9334;height:2838;width:12179;" filled="f" stroked="f" coordsize="21600,21600" o:gfxdata="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5sUedcAAAAFAQAADwAAAAAAAAABACAAAAAiAAAAZHJzL2Rv&#10;d25yZXYueG1sUEsBAhQAFAAAAAgAh07iQFpuUIDJAQAAdAMAAA4AAAAAAAAAAQAgAAAAJgEAAGRy&#10;cy9lMm9Eb2MueG1sUEsFBgAAAAAGAAYAWQEAAGEFAAAAAA==&#10;">
                    <v:path/>
                    <v:fill on="f" focussize="0,0"/>
                    <v:stroke on="f"/>
                    <v:imagedata o:title=""/>
                    <o:lock v:ext="edit" aspectratio="f"/>
                    <v:textbox>
                      <w:txbxContent>
                        <w:p>
                          <w:pPr>
                            <w:jc w:val="center"/>
                            <w:rPr>
                              <w:rFonts w:ascii="宋体" w:hAnsi="宋体" w:cs="宋体"/>
                            </w:rPr>
                          </w:pPr>
                          <w:r>
                            <w:rPr>
                              <w:rFonts w:hint="eastAsia" w:ascii="宋体" w:hAnsi="宋体" w:cs="宋体"/>
                            </w:rPr>
                            <w:t>入库待用</w:t>
                          </w:r>
                        </w:p>
                      </w:txbxContent>
                    </v:textbox>
                  </v:rect>
                  <v:rect id="矩形 31" o:spid="_x0000_s2240" o:spt="1" style="position:absolute;left:32924;top:4813;height:2953;width:11164;" filled="f" stroked="t" coordsize="21600,21600" o:gfxdata="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7A/XQ0wAAAAUB&#10;AAAPAAAAAAAAAAEAIAAAACIAAABkcnMvZG93bnJldi54bWxQSwECFAAUAAAACACHTuJAeKD4NSAC&#10;AAAxBAAADgAAAAAAAAABACAAAAAiAQAAZHJzL2Uyb0RvYy54bWxQSwUGAAAAAAYABgBZAQAAtAUA&#10;AAAA&#10;">
                    <v:path/>
                    <v:fill on="f" focussize="0,0"/>
                    <v:stroke color="#000000" joinstyle="miter" dashstyle="dash"/>
                    <v:imagedata o:title=""/>
                    <o:lock v:ext="edit" aspectratio="f"/>
                    <v:textbox>
                      <w:txbxContent>
                        <w:p>
                          <w:pPr>
                            <w:pStyle w:val="13"/>
                            <w:ind w:left="0" w:leftChars="0" w:firstLine="0" w:firstLineChars="0"/>
                          </w:pPr>
                          <w:r>
                            <w:rPr>
                              <w:rFonts w:hint="eastAsia"/>
                            </w:rPr>
                            <w:t>G4-1：破碎粉尘</w:t>
                          </w:r>
                        </w:p>
                      </w:txbxContent>
                    </v:textbox>
                  </v:rect>
                  <v:rect id="矩形 35" o:spid="_x0000_s2241" o:spt="1" style="position:absolute;left:20783;top:4819;height:2858;width:8636;" filled="f" stroked="t" coordsize="21600,21600" o:gfxdata="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76YcK1QAA&#10;AAUBAAAPAAAAAAAAAAEAIAAAACIAAABkcnMvZG93bnJldi54bWxQSwECFAAUAAAACACHTuJAa3KV&#10;syECAAAxBAAADgAAAAAAAAABACAAAAAkAQAAZHJzL2Uyb0RvYy54bWxQSwUGAAAAAAYABgBZAQAA&#10;twUAAAAA&#10;">
                    <v:path/>
                    <v:fill on="f" focussize="0,0"/>
                    <v:stroke color="#000000" joinstyle="miter"/>
                    <v:imagedata o:title=""/>
                    <o:lock v:ext="edit" aspectratio="f"/>
                    <v:textbox>
                      <w:txbxContent>
                        <w:p>
                          <w:pPr>
                            <w:jc w:val="center"/>
                            <w:rPr>
                              <w:rFonts w:ascii="宋体" w:hAnsi="宋体" w:cs="宋体"/>
                            </w:rPr>
                          </w:pPr>
                          <w:r>
                            <w:rPr>
                              <w:rFonts w:hint="eastAsia" w:ascii="宋体" w:hAnsi="宋体" w:cs="宋体"/>
                            </w:rPr>
                            <w:t>粉碎</w:t>
                          </w:r>
                        </w:p>
                      </w:txbxContent>
                    </v:textbox>
                  </v:rect>
                  <v:shape id="自选图形 39" o:spid="_x0000_s2242" o:spt="32" type="#_x0000_t32" style="position:absolute;left:29419;top:6197;flip:y;height:13;width:3416;" filled="f" stroked="t" coordsize="21600,21600" o:gfxdata="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zpCF0wAAAAUBAAAPAAAAAAAAAAEA&#10;IAAAACIAAABkcnMvZG93bnJldi54bWxQSwECFAAUAAAACACHTuJAC5v4EhQCAAD/AwAADgAAAAAA&#10;AAABACAAAAAiAQAAZHJzL2Uyb0RvYy54bWxQSwUGAAAAAAYABgBZAQAAqAUAAAAA&#10;">
                    <v:path arrowok="t"/>
                    <v:fill on="f" focussize="0,0"/>
                    <v:stroke color="#000000" dashstyle="dash" endarrow="block"/>
                    <v:imagedata o:title=""/>
                    <o:lock v:ext="edit" aspectratio="f"/>
                  </v:shape>
                  <v:shape id="自选图形 36" o:spid="_x0000_s2243" o:spt="32" type="#_x0000_t32" style="position:absolute;left:24905;top:7753;flip:x;height:1810;width:82;" filled="f" stroked="t" coordsize="21600,21600">
                    <v:path arrowok="t"/>
                    <v:fill on="f" focussize="0,0"/>
                    <v:stroke color="#000000" endarrow="block"/>
                    <v:imagedata o:title=""/>
                    <o:lock v:ext="edit" aspectratio="f"/>
                  </v:shape>
                  <w10:wrap type="none"/>
                  <w10:anchorlock/>
                </v:group>
              </w:pict>
            </w:r>
          </w:p>
          <w:p>
            <w:pPr>
              <w:snapToGrid w:val="0"/>
              <w:spacing w:line="360" w:lineRule="auto"/>
              <w:jc w:val="center"/>
              <w:rPr>
                <w:b/>
                <w:bCs/>
                <w:sz w:val="24"/>
              </w:rPr>
            </w:pPr>
            <w:r>
              <w:rPr>
                <w:b/>
                <w:bCs/>
                <w:sz w:val="24"/>
              </w:rPr>
              <w:t>图</w:t>
            </w:r>
            <w:r>
              <w:rPr>
                <w:rFonts w:hint="eastAsia"/>
                <w:b/>
                <w:bCs/>
                <w:sz w:val="24"/>
              </w:rPr>
              <w:t>2-5</w:t>
            </w:r>
            <w:r>
              <w:rPr>
                <w:b/>
                <w:bCs/>
                <w:sz w:val="24"/>
              </w:rPr>
              <w:t xml:space="preserve">  </w:t>
            </w:r>
            <w:r>
              <w:rPr>
                <w:rFonts w:hint="eastAsia"/>
                <w:b/>
                <w:sz w:val="24"/>
              </w:rPr>
              <w:t>破碎工序</w:t>
            </w:r>
            <w:r>
              <w:rPr>
                <w:b/>
                <w:bCs/>
                <w:sz w:val="24"/>
              </w:rPr>
              <w:t>工艺流程及产污环节图</w:t>
            </w:r>
          </w:p>
          <w:p>
            <w:pPr>
              <w:snapToGrid w:val="0"/>
              <w:spacing w:line="360" w:lineRule="auto"/>
              <w:ind w:firstLine="482" w:firstLineChars="200"/>
              <w:rPr>
                <w:b/>
                <w:sz w:val="24"/>
              </w:rPr>
            </w:pPr>
            <w:r>
              <w:rPr>
                <w:rFonts w:hAnsi="宋体"/>
                <w:b/>
                <w:sz w:val="24"/>
              </w:rPr>
              <w:t>生产工艺流程说明：</w:t>
            </w:r>
          </w:p>
          <w:p>
            <w:pPr>
              <w:pStyle w:val="13"/>
              <w:spacing w:line="360" w:lineRule="auto"/>
              <w:ind w:left="0" w:leftChars="0" w:firstLine="240" w:firstLineChars="100"/>
              <w:rPr>
                <w:b/>
                <w:sz w:val="24"/>
              </w:rPr>
            </w:pPr>
            <w:r>
              <w:rPr>
                <w:rFonts w:hint="eastAsia" w:eastAsiaTheme="minorEastAsia"/>
                <w:sz w:val="24"/>
              </w:rPr>
              <w:t>（1）粉碎：项目塑料盒、塑料瓶、盖的生产过程中产生不合格品和边角料，统一收集，定期运至粉碎间，使用破碎机进行粉碎处理，会产生少量粉碎粉尘（G4-1），在破碎机上方采用集气罩收集。破碎后的塑料颗粒再回用于生产。</w:t>
            </w:r>
          </w:p>
          <w:p>
            <w:pPr>
              <w:spacing w:line="360" w:lineRule="auto"/>
              <w:ind w:firstLine="482" w:firstLineChars="200"/>
              <w:rPr>
                <w:b/>
                <w:sz w:val="24"/>
              </w:rPr>
            </w:pPr>
            <w:r>
              <w:rPr>
                <w:rFonts w:hint="eastAsia"/>
                <w:b/>
                <w:sz w:val="24"/>
              </w:rPr>
              <w:t>五、夹心海苔生产工序</w:t>
            </w:r>
          </w:p>
          <w:p>
            <w:pPr>
              <w:spacing w:line="360" w:lineRule="auto"/>
              <w:rPr>
                <w:b/>
                <w:sz w:val="24"/>
              </w:rPr>
            </w:pPr>
            <w:r>
              <w:rPr>
                <w:b/>
                <w:sz w:val="24"/>
              </w:rPr>
              <w:pict>
                <v:group id="_x0000_s2246" o:spid="_x0000_s2246" o:spt="203" style="height:333.15pt;width:396.4pt;" coordorigin="1810,9116" coordsize="7928,6662" editas="canvas">
                  <o:lock v:ext="edit"/>
                  <v:shape id="_x0000_s2247" o:spid="_x0000_s2247" o:spt="75" type="#_x0000_t75" style="position:absolute;left:1810;top:9116;height:6662;width:7928;" filled="f" o:preferrelative="t" stroked="f" coordsize="21600,21600">
                    <v:path/>
                    <v:fill on="f" focussize="0,0"/>
                    <v:stroke on="f" joinstyle="miter"/>
                    <v:imagedata o:title=""/>
                    <o:lock v:ext="edit" text="t" aspectratio="t"/>
                  </v:shape>
                  <v:shape id="文本框 1107" o:spid="_x0000_s2248" o:spt="202" type="#_x0000_t202" style="position:absolute;left:1935;top:9141;height:464;width:1648;" filled="f" stroked="f" coordsize="21600,21600">
                    <v:path/>
                    <v:fill on="f" focussize="0,0"/>
                    <v:stroke on="f" joinstyle="miter"/>
                    <v:imagedata o:title=""/>
                    <o:lock v:ext="edit"/>
                    <v:textbox>
                      <w:txbxContent>
                        <w:p>
                          <w:pPr>
                            <w:jc w:val="center"/>
                          </w:pPr>
                          <w:r>
                            <w:rPr>
                              <w:rFonts w:hint="eastAsia"/>
                            </w:rPr>
                            <w:t>原料菜</w:t>
                          </w:r>
                        </w:p>
                      </w:txbxContent>
                    </v:textbox>
                  </v:shape>
                  <v:shape id="自选图形 1108" o:spid="_x0000_s2249" o:spt="32" type="#_x0000_t32" style="position:absolute;left:2761;top:9480;height:306;width:6;" filled="f" coordsize="21600,21600">
                    <v:path arrowok="t"/>
                    <v:fill on="f" focussize="0,0"/>
                    <v:stroke endarrow="block"/>
                    <v:imagedata o:title=""/>
                    <o:lock v:ext="edit"/>
                  </v:shape>
                  <v:shape id="文本框 1109" o:spid="_x0000_s2250" o:spt="202" type="#_x0000_t202" style="position:absolute;left:2184;top:9779;height:432;width:1162;" filled="f" coordsize="21600,21600">
                    <v:path/>
                    <v:fill on="f" focussize="0,0"/>
                    <v:stroke joinstyle="miter"/>
                    <v:imagedata o:title=""/>
                    <o:lock v:ext="edit"/>
                    <v:textbox>
                      <w:txbxContent>
                        <w:p>
                          <w:pPr>
                            <w:jc w:val="center"/>
                          </w:pPr>
                          <w:r>
                            <w:rPr>
                              <w:rFonts w:hint="eastAsia"/>
                            </w:rPr>
                            <w:t>预处理</w:t>
                          </w:r>
                        </w:p>
                      </w:txbxContent>
                    </v:textbox>
                  </v:shape>
                  <v:shape id="文本框 1109" o:spid="_x0000_s2251" o:spt="202" type="#_x0000_t202" style="position:absolute;left:2166;top:10501;height:430;width:1171;" filled="f" coordsize="21600,21600">
                    <v:path/>
                    <v:fill on="f" focussize="0,0"/>
                    <v:stroke joinstyle="miter"/>
                    <v:imagedata o:title=""/>
                    <o:lock v:ext="edit"/>
                    <v:textbox>
                      <w:txbxContent>
                        <w:p>
                          <w:pPr>
                            <w:jc w:val="center"/>
                          </w:pPr>
                          <w:r>
                            <w:rPr>
                              <w:rFonts w:hint="eastAsia"/>
                            </w:rPr>
                            <w:t>熬糖浆</w:t>
                          </w:r>
                        </w:p>
                      </w:txbxContent>
                    </v:textbox>
                  </v:shape>
                  <v:shape id="自选图形 1120" o:spid="_x0000_s2253" o:spt="32" type="#_x0000_t32" style="position:absolute;left:3367;top:9982;flip:y;height:4;width:434;" filled="f" coordsize="21600,21600">
                    <v:path arrowok="t"/>
                    <v:fill on="f" focussize="0,0"/>
                    <v:stroke dashstyle="dash" endarrow="block"/>
                    <v:imagedata o:title=""/>
                    <o:lock v:ext="edit"/>
                  </v:shape>
                  <v:shape id="文本框 1109" o:spid="_x0000_s2254" o:spt="202" type="#_x0000_t202" style="position:absolute;left:7897;top:10488;height:441;width:1740;" filled="f" coordsize="21600,21600">
                    <v:path/>
                    <v:fill on="f" focussize="0,0"/>
                    <v:stroke dashstyle="dash"/>
                    <v:imagedata o:title=""/>
                    <o:lock v:ext="edit"/>
                    <v:textbox>
                      <w:txbxContent>
                        <w:p>
                          <w:pPr>
                            <w:jc w:val="center"/>
                          </w:pPr>
                          <w:r>
                            <w:rPr>
                              <w:rFonts w:hint="eastAsia"/>
                            </w:rPr>
                            <w:t>水蒸气</w:t>
                          </w:r>
                        </w:p>
                      </w:txbxContent>
                    </v:textbox>
                  </v:shape>
                  <v:shape id="文本框 1109" o:spid="_x0000_s2260" o:spt="202" type="#_x0000_t202" style="position:absolute;left:3806;top:9774;height:451;width:1742;" filled="f" coordsize="21600,21600">
                    <v:path/>
                    <v:fill on="f" focussize="0,0"/>
                    <v:stroke dashstyle="dash"/>
                    <v:imagedata o:title=""/>
                    <o:lock v:ext="edit"/>
                    <v:textbox>
                      <w:txbxContent>
                        <w:p>
                          <w:r>
                            <w:rPr>
                              <w:rFonts w:hint="eastAsia"/>
                            </w:rPr>
                            <w:t>S5-1：废原料菜</w:t>
                          </w:r>
                        </w:p>
                      </w:txbxContent>
                    </v:textbox>
                  </v:shape>
                  <v:shape id="_x0000_s2262" o:spid="_x0000_s2262" o:spt="202" type="#_x0000_t202" style="position:absolute;left:4157;top:15173;height:460;width:1314;"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装箱入库</w:t>
                          </w:r>
                        </w:p>
                      </w:txbxContent>
                    </v:textbox>
                  </v:shape>
                  <v:line id="_x0000_s2263" o:spid="_x0000_s2263" o:spt="20" style="position:absolute;left:2756;top:11963;flip:y;height:11;width:4194;" coordsize="21600,21600">
                    <v:path arrowok="t"/>
                    <v:fill focussize="0,0"/>
                    <v:stroke/>
                    <v:imagedata o:title=""/>
                    <o:lock v:ext="edit"/>
                  </v:line>
                  <v:shape id="_x0000_s2264" o:spid="_x0000_s2264" o:spt="202" type="#_x0000_t202" style="position:absolute;left:6244;top:9148;height:460;width:1364;"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芝麻、荞麦</w:t>
                          </w:r>
                        </w:p>
                      </w:txbxContent>
                    </v:textbox>
                  </v:shape>
                  <v:shape id="自选图形 1108" o:spid="_x0000_s2265" o:spt="32" type="#_x0000_t32" style="position:absolute;left:2768;top:10212;height:300;width:0;" filled="f" coordsize="21600,21600">
                    <v:path arrowok="t"/>
                    <v:fill on="f" focussize="0,0"/>
                    <v:stroke endarrow="block"/>
                    <v:imagedata o:title=""/>
                    <o:lock v:ext="edit"/>
                  </v:shape>
                  <v:shape id="自选图形 1108" o:spid="_x0000_s2266" o:spt="32" type="#_x0000_t32" style="position:absolute;left:2767;top:10937;height:300;width:0;" filled="f" coordsize="21600,21600">
                    <v:path arrowok="t"/>
                    <v:fill on="f" focussize="0,0"/>
                    <v:stroke endarrow="block"/>
                    <v:imagedata o:title=""/>
                    <o:lock v:ext="edit"/>
                  </v:shape>
                  <v:shape id="文本框 1109" o:spid="_x0000_s2267" o:spt="202" type="#_x0000_t202" style="position:absolute;left:2168;top:11236;height:420;width:1160;" filled="f" coordsize="21600,21600">
                    <v:path/>
                    <v:fill on="f" focussize="0,0"/>
                    <v:stroke joinstyle="miter"/>
                    <v:imagedata o:title=""/>
                    <o:lock v:ext="edit"/>
                    <v:textbox>
                      <w:txbxContent>
                        <w:p>
                          <w:pPr>
                            <w:jc w:val="center"/>
                          </w:pPr>
                          <w:r>
                            <w:rPr>
                              <w:rFonts w:hint="eastAsia"/>
                            </w:rPr>
                            <w:t>涂糖浆</w:t>
                          </w:r>
                        </w:p>
                      </w:txbxContent>
                    </v:textbox>
                  </v:shape>
                  <v:shape id="自选图形 1120" o:spid="_x0000_s2268" o:spt="32" type="#_x0000_t32" style="position:absolute;left:3355;top:10711;flip:y;height:0;width:420;" filled="f" coordsize="21600,21600">
                    <v:path arrowok="t"/>
                    <v:fill on="f" focussize="0,0"/>
                    <v:stroke dashstyle="dash" endarrow="block"/>
                    <v:imagedata o:title=""/>
                    <o:lock v:ext="edit"/>
                  </v:shape>
                  <v:shape id="文本框 1109" o:spid="_x0000_s2269" o:spt="202" type="#_x0000_t202" style="position:absolute;left:3781;top:10499;height:440;width:1765;" filled="f" coordsize="21600,21600">
                    <v:path/>
                    <v:fill on="f" focussize="0,0"/>
                    <v:stroke dashstyle="dash"/>
                    <v:imagedata o:title=""/>
                    <o:lock v:ext="edit"/>
                    <v:textbox>
                      <w:txbxContent>
                        <w:p>
                          <w:pPr>
                            <w:jc w:val="center"/>
                          </w:pPr>
                          <w:r>
                            <w:rPr>
                              <w:rFonts w:hint="eastAsia"/>
                            </w:rPr>
                            <w:t>水蒸气</w:t>
                          </w:r>
                        </w:p>
                      </w:txbxContent>
                    </v:textbox>
                  </v:shape>
                  <v:shape id="自选图形 1108" o:spid="_x0000_s2270" o:spt="32" type="#_x0000_t32" style="position:absolute;left:6918;top:9461;height:300;width:0;" filled="f" coordsize="21600,21600">
                    <v:path arrowok="t"/>
                    <v:fill on="f" focussize="0,0"/>
                    <v:stroke endarrow="block"/>
                    <v:imagedata o:title=""/>
                    <o:lock v:ext="edit"/>
                  </v:shape>
                  <v:shape id="文本框 1109" o:spid="_x0000_s2271" o:spt="202" type="#_x0000_t202" style="position:absolute;left:6342;top:10486;height:420;width:1160;" filled="f" coordsize="21600,21600">
                    <v:path/>
                    <v:fill on="f" focussize="0,0"/>
                    <v:stroke joinstyle="miter"/>
                    <v:imagedata o:title=""/>
                    <o:lock v:ext="edit"/>
                    <v:textbox>
                      <w:txbxContent>
                        <w:p>
                          <w:pPr>
                            <w:jc w:val="center"/>
                          </w:pPr>
                          <w:r>
                            <w:rPr>
                              <w:rFonts w:hint="eastAsia"/>
                            </w:rPr>
                            <w:t>炒制</w:t>
                          </w:r>
                        </w:p>
                      </w:txbxContent>
                    </v:textbox>
                  </v:shape>
                  <v:shape id="自选图形 1120" o:spid="_x0000_s2272" o:spt="32" type="#_x0000_t32" style="position:absolute;left:7505;top:10699;flip:y;height:0;width:420;" filled="f" coordsize="21600,21600">
                    <v:path arrowok="t"/>
                    <v:fill on="f" focussize="0,0"/>
                    <v:stroke dashstyle="dash" endarrow="block"/>
                    <v:imagedata o:title=""/>
                    <o:lock v:ext="edit"/>
                  </v:shape>
                  <v:shape id="自选图形 1108" o:spid="_x0000_s2273" o:spt="32" type="#_x0000_t32" style="position:absolute;left:6930;top:10912;height:300;width:0;" filled="f" coordsize="21600,21600">
                    <v:path arrowok="t"/>
                    <v:fill on="f" focussize="0,0"/>
                    <v:stroke endarrow="block"/>
                    <v:imagedata o:title=""/>
                    <o:lock v:ext="edit"/>
                  </v:shape>
                  <v:shape id="文本框 1109" o:spid="_x0000_s2274" o:spt="202" type="#_x0000_t202" style="position:absolute;left:6344;top:11224;height:420;width:1160;" filled="f" coordsize="21600,21600">
                    <v:path/>
                    <v:fill on="f" focussize="0,0"/>
                    <v:stroke joinstyle="miter"/>
                    <v:imagedata o:title=""/>
                    <o:lock v:ext="edit"/>
                    <v:textbox>
                      <w:txbxContent>
                        <w:p>
                          <w:pPr>
                            <w:jc w:val="center"/>
                          </w:pPr>
                          <w:r>
                            <w:rPr>
                              <w:rFonts w:hint="eastAsia"/>
                            </w:rPr>
                            <w:t>撒物料</w:t>
                          </w:r>
                        </w:p>
                      </w:txbxContent>
                    </v:textbox>
                  </v:shape>
                  <v:shape id="自选图形 1108" o:spid="_x0000_s2275" o:spt="32" type="#_x0000_t32" style="position:absolute;left:2768;top:11674;height:300;width:0;" filled="f" coordsize="21600,21600">
                    <v:path arrowok="t"/>
                    <v:fill on="f" focussize="0,0"/>
                    <v:stroke endarrow="block"/>
                    <v:imagedata o:title=""/>
                    <o:lock v:ext="edit"/>
                  </v:shape>
                  <v:shape id="自选图形 1108" o:spid="_x0000_s2277" o:spt="32" type="#_x0000_t32" style="position:absolute;left:4768;top:11987;height:300;width:0;" filled="f" coordsize="21600,21600">
                    <v:path arrowok="t"/>
                    <v:fill on="f" focussize="0,0"/>
                    <v:stroke endarrow="block"/>
                    <v:imagedata o:title=""/>
                    <o:lock v:ext="edit"/>
                  </v:shape>
                  <v:shape id="文本框 1109" o:spid="_x0000_s2278" o:spt="202" type="#_x0000_t202" style="position:absolute;left:4056;top:12286;height:420;width:1422;" filled="f" coordsize="21600,21600">
                    <v:path/>
                    <v:fill on="f" focussize="0,0"/>
                    <v:stroke joinstyle="miter"/>
                    <v:imagedata o:title=""/>
                    <o:lock v:ext="edit"/>
                    <v:textbox>
                      <w:txbxContent>
                        <w:p>
                          <w:pPr>
                            <w:jc w:val="center"/>
                          </w:pPr>
                          <w:r>
                            <w:rPr>
                              <w:rFonts w:hint="eastAsia"/>
                            </w:rPr>
                            <w:t>粘合、压片</w:t>
                          </w:r>
                        </w:p>
                      </w:txbxContent>
                    </v:textbox>
                  </v:shape>
                  <v:shape id="自选图形 1108" o:spid="_x0000_s2280" o:spt="32" type="#_x0000_t32" style="position:absolute;left:4756;top:12724;height:300;width:0;" filled="f" coordsize="21600,21600">
                    <v:path arrowok="t"/>
                    <v:fill on="f" focussize="0,0"/>
                    <v:stroke endarrow="block"/>
                    <v:imagedata o:title=""/>
                    <o:lock v:ext="edit"/>
                  </v:shape>
                  <v:shape id="文本框 1109" o:spid="_x0000_s2281" o:spt="202" type="#_x0000_t202" style="position:absolute;left:4043;top:13024;height:420;width:1420;" filled="f" coordsize="21600,21600">
                    <v:path/>
                    <v:fill on="f" focussize="0,0"/>
                    <v:stroke joinstyle="miter"/>
                    <v:imagedata o:title=""/>
                    <o:lock v:ext="edit"/>
                    <v:textbox>
                      <w:txbxContent>
                        <w:p>
                          <w:pPr>
                            <w:jc w:val="center"/>
                          </w:pPr>
                          <w:r>
                            <w:rPr>
                              <w:rFonts w:hint="eastAsia"/>
                            </w:rPr>
                            <w:t>烘烤</w:t>
                          </w:r>
                        </w:p>
                      </w:txbxContent>
                    </v:textbox>
                  </v:shape>
                  <v:shape id="自选图形 1108" o:spid="_x0000_s2282" o:spt="32" type="#_x0000_t32" style="position:absolute;left:4755;top:13449;height:300;width:0;" filled="f" coordsize="21600,21600">
                    <v:path arrowok="t"/>
                    <v:fill on="f" focussize="0,0"/>
                    <v:stroke endarrow="block"/>
                    <v:imagedata o:title=""/>
                    <o:lock v:ext="edit"/>
                  </v:shape>
                  <v:shape id="文本框 1109" o:spid="_x0000_s2283" o:spt="202" type="#_x0000_t202" style="position:absolute;left:4030;top:13749;height:420;width:1420;" filled="f" coordsize="21600,21600">
                    <v:path/>
                    <v:fill on="f" focussize="0,0"/>
                    <v:stroke joinstyle="miter"/>
                    <v:imagedata o:title=""/>
                    <o:lock v:ext="edit"/>
                    <v:textbox>
                      <w:txbxContent>
                        <w:p>
                          <w:pPr>
                            <w:jc w:val="center"/>
                          </w:pPr>
                          <w:r>
                            <w:rPr>
                              <w:rFonts w:hint="eastAsia"/>
                            </w:rPr>
                            <w:t>冷却切片</w:t>
                          </w:r>
                        </w:p>
                      </w:txbxContent>
                    </v:textbox>
                  </v:shape>
                  <v:shape id="自选图形 1108" o:spid="_x0000_s2284" o:spt="32" type="#_x0000_t32" style="position:absolute;left:4755;top:14174;height:300;width:0;" filled="f" coordsize="21600,21600">
                    <v:path arrowok="t"/>
                    <v:fill on="f" focussize="0,0"/>
                    <v:stroke endarrow="block"/>
                    <v:imagedata o:title=""/>
                    <o:lock v:ext="edit"/>
                  </v:shape>
                  <v:shape id="文本框 1109" o:spid="_x0000_s2285" o:spt="202" type="#_x0000_t202" style="position:absolute;left:4030;top:14474;height:420;width:1420;" filled="f" coordsize="21600,21600">
                    <v:path/>
                    <v:fill on="f" focussize="0,0"/>
                    <v:stroke joinstyle="miter"/>
                    <v:imagedata o:title=""/>
                    <o:lock v:ext="edit"/>
                    <v:textbox>
                      <w:txbxContent>
                        <w:p>
                          <w:pPr>
                            <w:jc w:val="center"/>
                          </w:pPr>
                          <w:r>
                            <w:rPr>
                              <w:rFonts w:hint="eastAsia"/>
                            </w:rPr>
                            <w:t>包装、金检</w:t>
                          </w:r>
                        </w:p>
                      </w:txbxContent>
                    </v:textbox>
                  </v:shape>
                  <v:shape id="自选图形 1108" o:spid="_x0000_s2286" o:spt="32" type="#_x0000_t32" style="position:absolute;left:4766;top:14899;height:300;width:0;" filled="f" coordsize="21600,21600">
                    <v:path arrowok="t"/>
                    <v:fill on="f" focussize="0,0"/>
                    <v:stroke endarrow="block"/>
                    <v:imagedata o:title=""/>
                    <o:lock v:ext="edit"/>
                  </v:shape>
                  <v:shape id="自选图形 1120" o:spid="_x0000_s2287" o:spt="32" type="#_x0000_t32" style="position:absolute;left:5481;top:13237;flip:y;height:0;width:420;" filled="f" coordsize="21600,21600">
                    <v:path arrowok="t"/>
                    <v:fill on="f" focussize="0,0"/>
                    <v:stroke dashstyle="dash" endarrow="block"/>
                    <v:imagedata o:title=""/>
                    <o:lock v:ext="edit"/>
                  </v:shape>
                  <v:shape id="文本框 1109" o:spid="_x0000_s2288" o:spt="202" type="#_x0000_t202" style="position:absolute;left:5906;top:13024;height:440;width:1715;" filled="f" coordsize="21600,21600">
                    <v:path/>
                    <v:fill on="f" focussize="0,0"/>
                    <v:stroke dashstyle="dash"/>
                    <v:imagedata o:title=""/>
                    <o:lock v:ext="edit"/>
                    <v:textbox>
                      <w:txbxContent>
                        <w:p>
                          <w:pPr>
                            <w:jc w:val="center"/>
                          </w:pPr>
                          <w:r>
                            <w:rPr>
                              <w:rFonts w:hint="eastAsia"/>
                            </w:rPr>
                            <w:t>水蒸气</w:t>
                          </w:r>
                        </w:p>
                      </w:txbxContent>
                    </v:textbox>
                  </v:shape>
                  <v:shape id="自选图形 1120" o:spid="_x0000_s2289" o:spt="32" type="#_x0000_t32" style="position:absolute;left:5468;top:13937;flip:y;height:0;width:420;" filled="f" coordsize="21600,21600">
                    <v:path arrowok="t"/>
                    <v:fill on="f" focussize="0,0"/>
                    <v:stroke dashstyle="dash" endarrow="block"/>
                    <v:imagedata o:title=""/>
                    <o:lock v:ext="edit"/>
                  </v:shape>
                  <v:shape id="文本框 1109" o:spid="_x0000_s2290" o:spt="202" type="#_x0000_t202" style="position:absolute;left:5893;top:13724;height:440;width:1765;" filled="f" coordsize="21600,21600">
                    <v:path/>
                    <v:fill on="f" focussize="0,0"/>
                    <v:stroke dashstyle="dash"/>
                    <v:imagedata o:title=""/>
                    <o:lock v:ext="edit"/>
                    <v:textbox>
                      <w:txbxContent>
                        <w:p>
                          <w:r>
                            <w:rPr>
                              <w:rFonts w:hint="eastAsia"/>
                            </w:rPr>
                            <w:t>S5-2：废边角料菜</w:t>
                          </w:r>
                        </w:p>
                      </w:txbxContent>
                    </v:textbox>
                  </v:shape>
                  <v:shape id="自选图形 1108" o:spid="_x0000_s2291" o:spt="32" type="#_x0000_t32" style="position:absolute;left:3743;top:14693;flip:y;height:6;width:271;" filled="f" coordsize="21600,21600">
                    <v:path arrowok="t"/>
                    <v:fill on="f" focussize="0,0"/>
                    <v:stroke endarrow="block"/>
                    <v:imagedata o:title=""/>
                    <o:lock v:ext="edit"/>
                  </v:shape>
                  <v:shape id="_x0000_s2292" o:spid="_x0000_s2292" o:spt="202" type="#_x0000_t202" style="position:absolute;left:2468;top:14425;height:646;width:1300;"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外包装、干燥剂</w:t>
                          </w:r>
                        </w:p>
                      </w:txbxContent>
                    </v:textbox>
                  </v:shape>
                  <v:shape id="文本框 1109" o:spid="_x0000_s2293" o:spt="202" type="#_x0000_t202" style="position:absolute;left:6331;top:9761;height:420;width:1160;" filled="f" coordsize="21600,21600">
                    <v:path/>
                    <v:fill on="f" focussize="0,0"/>
                    <v:stroke joinstyle="miter"/>
                    <v:imagedata o:title=""/>
                    <o:lock v:ext="edit"/>
                    <v:textbox>
                      <w:txbxContent>
                        <w:p>
                          <w:pPr>
                            <w:jc w:val="center"/>
                          </w:pPr>
                          <w:r>
                            <w:rPr>
                              <w:rFonts w:hint="eastAsia"/>
                            </w:rPr>
                            <w:t>预处理</w:t>
                          </w:r>
                        </w:p>
                      </w:txbxContent>
                    </v:textbox>
                  </v:shape>
                  <v:shape id="自选图形 1120" o:spid="_x0000_s2294" o:spt="32" type="#_x0000_t32" style="position:absolute;left:7493;top:9961;flip:y;height:0;width:420;" filled="f" coordsize="21600,21600">
                    <v:path arrowok="t"/>
                    <v:fill on="f" focussize="0,0"/>
                    <v:stroke dashstyle="dash" endarrow="block"/>
                    <v:imagedata o:title=""/>
                    <o:lock v:ext="edit"/>
                  </v:shape>
                  <v:shape id="文本框 1109" o:spid="_x0000_s2295" o:spt="202" type="#_x0000_t202" style="position:absolute;left:7905;top:9624;height:706;width:1740;" filled="f" coordsize="21600,21600">
                    <v:path/>
                    <v:fill on="f" focussize="0,0"/>
                    <v:stroke dashstyle="dash"/>
                    <v:imagedata o:title=""/>
                    <o:lock v:ext="edit"/>
                    <v:textbox>
                      <w:txbxContent>
                        <w:p>
                          <w:r>
                            <w:rPr>
                              <w:rFonts w:hint="eastAsia"/>
                            </w:rPr>
                            <w:t>S5-2：废谷物</w:t>
                          </w:r>
                        </w:p>
                        <w:p>
                          <w:r>
                            <w:rPr>
                              <w:rFonts w:hint="eastAsia"/>
                            </w:rPr>
                            <w:t>W5-1：清洗废水</w:t>
                          </w:r>
                        </w:p>
                      </w:txbxContent>
                    </v:textbox>
                  </v:shape>
                  <v:shape id="自选图形 1108" o:spid="_x0000_s2296" o:spt="32" type="#_x0000_t32" style="position:absolute;left:6918;top:10186;height:300;width:0;" filled="f" coordsize="21600,21600">
                    <v:path arrowok="t"/>
                    <v:fill on="f" focussize="0,0"/>
                    <v:stroke endarrow="block"/>
                    <v:imagedata o:title=""/>
                    <o:lock v:ext="edit"/>
                  </v:shape>
                  <v:shape id="自选图形 1108" o:spid="_x0000_s2297" o:spt="32" type="#_x0000_t32" style="position:absolute;left:6931;top:11649;height:300;width:0;" filled="f" coordsize="21600,21600">
                    <v:path arrowok="t"/>
                    <v:fill on="f" focussize="0,0"/>
                    <v:stroke endarrow="block"/>
                    <v:imagedata o:title=""/>
                    <o:lock v:ext="edit"/>
                  </v:shape>
                  <w10:wrap type="none"/>
                  <w10:anchorlock/>
                </v:group>
              </w:pict>
            </w:r>
          </w:p>
          <w:p>
            <w:pPr>
              <w:snapToGrid w:val="0"/>
              <w:spacing w:line="360" w:lineRule="auto"/>
              <w:jc w:val="center"/>
              <w:rPr>
                <w:b/>
                <w:bCs/>
                <w:sz w:val="24"/>
              </w:rPr>
            </w:pPr>
            <w:r>
              <w:rPr>
                <w:b/>
                <w:bCs/>
                <w:sz w:val="24"/>
              </w:rPr>
              <w:t>图</w:t>
            </w:r>
            <w:r>
              <w:rPr>
                <w:rFonts w:hint="eastAsia"/>
                <w:b/>
                <w:bCs/>
                <w:sz w:val="24"/>
              </w:rPr>
              <w:t>2-6</w:t>
            </w:r>
            <w:r>
              <w:rPr>
                <w:b/>
                <w:bCs/>
                <w:sz w:val="24"/>
              </w:rPr>
              <w:t xml:space="preserve">  </w:t>
            </w:r>
            <w:r>
              <w:rPr>
                <w:rFonts w:hint="eastAsia"/>
                <w:b/>
                <w:sz w:val="24"/>
              </w:rPr>
              <w:t>夹心海苔生产</w:t>
            </w:r>
            <w:r>
              <w:rPr>
                <w:b/>
                <w:bCs/>
                <w:sz w:val="24"/>
              </w:rPr>
              <w:t>工艺流程及产污环节图</w:t>
            </w:r>
          </w:p>
          <w:p>
            <w:pPr>
              <w:snapToGrid w:val="0"/>
              <w:spacing w:line="360" w:lineRule="auto"/>
              <w:ind w:firstLine="482" w:firstLineChars="200"/>
              <w:rPr>
                <w:rFonts w:hAnsi="宋体"/>
                <w:bCs/>
                <w:sz w:val="24"/>
              </w:rPr>
            </w:pPr>
            <w:r>
              <w:rPr>
                <w:rFonts w:hAnsi="宋体"/>
                <w:b/>
                <w:sz w:val="24"/>
              </w:rPr>
              <w:t>生产工艺流程说明：</w:t>
            </w:r>
          </w:p>
          <w:p>
            <w:pPr>
              <w:spacing w:line="360" w:lineRule="auto"/>
              <w:ind w:firstLine="480" w:firstLineChars="200"/>
              <w:rPr>
                <w:rFonts w:hAnsi="宋体"/>
                <w:bCs/>
                <w:sz w:val="24"/>
              </w:rPr>
            </w:pPr>
            <w:r>
              <w:rPr>
                <w:rFonts w:hAnsi="宋体"/>
                <w:bCs/>
                <w:sz w:val="24"/>
              </w:rPr>
              <w:t>（</w:t>
            </w:r>
            <w:r>
              <w:rPr>
                <w:bCs/>
                <w:sz w:val="24"/>
              </w:rPr>
              <w:t>1</w:t>
            </w:r>
            <w:r>
              <w:rPr>
                <w:rFonts w:hAnsi="宋体"/>
                <w:bCs/>
                <w:sz w:val="24"/>
              </w:rPr>
              <w:t>）</w:t>
            </w:r>
            <w:r>
              <w:rPr>
                <w:rFonts w:hint="eastAsia" w:hAnsi="宋体"/>
                <w:bCs/>
                <w:sz w:val="24"/>
              </w:rPr>
              <w:t>预处理：将外购的香菇、生姜等原料进行人工挑选加工处理，此过程主要产生废原料菜（S5-1）。</w:t>
            </w:r>
          </w:p>
          <w:p>
            <w:pPr>
              <w:spacing w:line="360" w:lineRule="auto"/>
              <w:ind w:firstLine="480" w:firstLineChars="200"/>
              <w:rPr>
                <w:rFonts w:hAnsi="宋体"/>
                <w:bCs/>
                <w:sz w:val="24"/>
              </w:rPr>
            </w:pPr>
            <w:r>
              <w:rPr>
                <w:rFonts w:hint="eastAsia" w:hAnsi="宋体"/>
                <w:bCs/>
                <w:sz w:val="24"/>
              </w:rPr>
              <w:t>（2）熬糖浆：将打碎的香菇、姜汁、白砂糖等原料倒入蒸汽夹层锅中加热溶糖，主要产生水蒸气。</w:t>
            </w:r>
          </w:p>
          <w:p>
            <w:pPr>
              <w:spacing w:line="360" w:lineRule="auto"/>
              <w:ind w:firstLine="480" w:firstLineChars="200"/>
              <w:rPr>
                <w:rFonts w:hAnsi="宋体"/>
                <w:bCs/>
                <w:sz w:val="24"/>
              </w:rPr>
            </w:pPr>
            <w:r>
              <w:rPr>
                <w:rFonts w:hint="eastAsia" w:hAnsi="宋体"/>
                <w:bCs/>
                <w:sz w:val="24"/>
              </w:rPr>
              <w:t>（3）涂糖浆：将原料菜放入供给机中，通过喷浆机喷浆调味。</w:t>
            </w:r>
          </w:p>
          <w:p>
            <w:pPr>
              <w:spacing w:line="360" w:lineRule="auto"/>
              <w:ind w:firstLine="480" w:firstLineChars="200"/>
              <w:rPr>
                <w:b/>
                <w:sz w:val="24"/>
              </w:rPr>
            </w:pPr>
            <w:r>
              <w:rPr>
                <w:rFonts w:hint="eastAsia" w:hAnsi="宋体"/>
                <w:bCs/>
                <w:sz w:val="24"/>
              </w:rPr>
              <w:t>（4）预处理：对外购的芝麻、荞麦等谷物进行筛选，另外芝麻需要过水清洗，此过程主要产生废谷物（S5-2）、清洗废水（W5-1）。</w:t>
            </w:r>
          </w:p>
          <w:p>
            <w:pPr>
              <w:spacing w:line="360" w:lineRule="auto"/>
              <w:ind w:firstLine="480" w:firstLineChars="200"/>
              <w:rPr>
                <w:bCs/>
                <w:sz w:val="24"/>
              </w:rPr>
            </w:pPr>
            <w:r>
              <w:rPr>
                <w:rFonts w:hint="eastAsia"/>
                <w:bCs/>
                <w:sz w:val="24"/>
              </w:rPr>
              <w:t>（5）炒制：处理后的谷物放入炒制机中，主要对芝麻进行脱水，无需添加植物油，炒制温度约100℃，主要产生水蒸气和机械设备噪声。</w:t>
            </w:r>
          </w:p>
          <w:p>
            <w:pPr>
              <w:spacing w:line="360" w:lineRule="auto"/>
              <w:ind w:firstLine="480" w:firstLineChars="200"/>
              <w:rPr>
                <w:bCs/>
                <w:sz w:val="24"/>
              </w:rPr>
            </w:pPr>
            <w:r>
              <w:rPr>
                <w:rFonts w:hint="eastAsia"/>
                <w:bCs/>
                <w:sz w:val="24"/>
              </w:rPr>
              <w:t>（6）撒物料：对供给机中原料菜的另一侧撒上物料。</w:t>
            </w:r>
          </w:p>
          <w:p>
            <w:pPr>
              <w:spacing w:line="360" w:lineRule="auto"/>
              <w:ind w:firstLine="480" w:firstLineChars="200"/>
              <w:rPr>
                <w:bCs/>
                <w:sz w:val="24"/>
              </w:rPr>
            </w:pPr>
            <w:r>
              <w:rPr>
                <w:rFonts w:hint="eastAsia"/>
                <w:bCs/>
                <w:sz w:val="24"/>
              </w:rPr>
              <w:t>（7）粘合、压片：将已喷好糖浆的原料菜与已撒料菜对贴粘合，将理好的半成品进入压片机进行压片处理。</w:t>
            </w:r>
          </w:p>
          <w:p>
            <w:pPr>
              <w:spacing w:line="360" w:lineRule="auto"/>
              <w:ind w:firstLine="480" w:firstLineChars="200"/>
              <w:rPr>
                <w:bCs/>
                <w:sz w:val="24"/>
              </w:rPr>
            </w:pPr>
            <w:r>
              <w:rPr>
                <w:rFonts w:hint="eastAsia"/>
                <w:bCs/>
                <w:sz w:val="24"/>
              </w:rPr>
              <w:t>（8）烘烤：将压片好的半成品随链网进入电烘箱，按照预先设定的温度（100度左右）和速率对菜进行烘烤，主要产生水蒸气和烘烤食物香味。</w:t>
            </w:r>
          </w:p>
          <w:p>
            <w:pPr>
              <w:spacing w:line="360" w:lineRule="auto"/>
              <w:ind w:firstLine="480" w:firstLineChars="200"/>
              <w:rPr>
                <w:bCs/>
                <w:sz w:val="24"/>
              </w:rPr>
            </w:pPr>
            <w:r>
              <w:rPr>
                <w:rFonts w:hint="eastAsia"/>
                <w:bCs/>
                <w:sz w:val="24"/>
              </w:rPr>
              <w:t>（9）冷却、切片：将烘烤好的成品通过输送带自然冷却后输送至内包切机上进行切片，此过程产生废边角料（S5-2）和机械设备噪声。</w:t>
            </w:r>
          </w:p>
          <w:p>
            <w:pPr>
              <w:spacing w:line="360" w:lineRule="auto"/>
              <w:ind w:firstLine="480" w:firstLineChars="200"/>
              <w:rPr>
                <w:bCs/>
                <w:sz w:val="24"/>
              </w:rPr>
            </w:pPr>
            <w:r>
              <w:rPr>
                <w:rFonts w:hint="eastAsia"/>
                <w:bCs/>
                <w:sz w:val="24"/>
              </w:rPr>
              <w:t>（10）包装、金检：将切片后的成品通过包装机进行包装，将内包装后的产品经过金属检测仪检测。</w:t>
            </w:r>
          </w:p>
          <w:p>
            <w:pPr>
              <w:pStyle w:val="2"/>
              <w:ind w:firstLine="480" w:firstLineChars="200"/>
            </w:pPr>
            <w:r>
              <w:rPr>
                <w:rFonts w:hint="eastAsia"/>
                <w:bCs/>
              </w:rPr>
              <w:t>（11）装箱入库：检测合格后的产品通过封箱机进行装箱，入库待售。</w:t>
            </w:r>
          </w:p>
          <w:p>
            <w:pPr>
              <w:spacing w:before="120" w:beforeLines="50" w:line="360" w:lineRule="auto"/>
              <w:ind w:firstLine="482" w:firstLineChars="200"/>
              <w:rPr>
                <w:b/>
                <w:sz w:val="24"/>
              </w:rPr>
            </w:pPr>
            <w:r>
              <w:rPr>
                <w:rFonts w:hint="eastAsia"/>
                <w:b/>
                <w:sz w:val="24"/>
              </w:rPr>
              <w:t>六、原味海苔生产工序</w:t>
            </w:r>
          </w:p>
          <w:p>
            <w:pPr>
              <w:spacing w:line="360" w:lineRule="auto"/>
              <w:rPr>
                <w:bCs/>
                <w:sz w:val="24"/>
              </w:rPr>
            </w:pPr>
            <w:r>
              <w:rPr>
                <w:b/>
                <w:sz w:val="24"/>
              </w:rPr>
              <w:pict>
                <v:group id="_x0000_s2298" o:spid="_x0000_s2298" o:spt="203" style="height:276.7pt;width:396.4pt;" coordorigin="1810,9116" coordsize="7928,5533" editas="canvas">
                  <o:lock v:ext="edit"/>
                  <v:shape id="_x0000_s2299" o:spid="_x0000_s2299" o:spt="75" type="#_x0000_t75" style="position:absolute;left:1810;top:9116;height:5533;width:7928;" filled="f" o:preferrelative="t" stroked="f" coordsize="21600,21600">
                    <v:path/>
                    <v:fill on="f" focussize="0,0"/>
                    <v:stroke on="f" joinstyle="miter"/>
                    <v:imagedata o:title=""/>
                    <o:lock v:ext="edit" text="t" aspectratio="t"/>
                  </v:shape>
                  <v:shape id="文本框 1107" o:spid="_x0000_s2300" o:spt="202" type="#_x0000_t202" style="position:absolute;left:4422;top:9166;height:464;width:1648;" filled="f" stroked="f" coordsize="21600,21600">
                    <v:path/>
                    <v:fill on="f" focussize="0,0"/>
                    <v:stroke on="f" joinstyle="miter"/>
                    <v:imagedata o:title=""/>
                    <o:lock v:ext="edit"/>
                    <v:textbox>
                      <w:txbxContent>
                        <w:p>
                          <w:pPr>
                            <w:jc w:val="center"/>
                          </w:pPr>
                          <w:r>
                            <w:rPr>
                              <w:rFonts w:hint="eastAsia"/>
                            </w:rPr>
                            <w:t>原料菜</w:t>
                          </w:r>
                        </w:p>
                      </w:txbxContent>
                    </v:textbox>
                  </v:shape>
                  <v:shape id="自选图形 1108" o:spid="_x0000_s2301" o:spt="32" type="#_x0000_t32" style="position:absolute;left:5299;top:9517;height:306;width:6;" filled="f" coordsize="21600,21600">
                    <v:path arrowok="t"/>
                    <v:fill on="f" focussize="0,0"/>
                    <v:stroke endarrow="block"/>
                    <v:imagedata o:title=""/>
                    <o:lock v:ext="edit"/>
                  </v:shape>
                  <v:shape id="文本框 1109" o:spid="_x0000_s2302" o:spt="202" type="#_x0000_t202" style="position:absolute;left:4734;top:9816;height:432;width:1162;" filled="f" coordsize="21600,21600">
                    <v:path/>
                    <v:fill on="f" focussize="0,0"/>
                    <v:stroke joinstyle="miter"/>
                    <v:imagedata o:title=""/>
                    <o:lock v:ext="edit"/>
                    <v:textbox>
                      <w:txbxContent>
                        <w:p>
                          <w:pPr>
                            <w:jc w:val="center"/>
                          </w:pPr>
                          <w:r>
                            <w:rPr>
                              <w:rFonts w:hint="eastAsia"/>
                            </w:rPr>
                            <w:t>预处理</w:t>
                          </w:r>
                        </w:p>
                      </w:txbxContent>
                    </v:textbox>
                  </v:shape>
                  <v:shape id="自选图形 1120" o:spid="_x0000_s2304" o:spt="32" type="#_x0000_t32" style="position:absolute;left:5905;top:10020;flip:y;height:4;width:434;" filled="f" coordsize="21600,21600">
                    <v:path arrowok="t"/>
                    <v:fill on="f" focussize="0,0"/>
                    <v:stroke dashstyle="dash" endarrow="block"/>
                    <v:imagedata o:title=""/>
                    <o:lock v:ext="edit"/>
                  </v:shape>
                  <v:shape id="文本框 1109" o:spid="_x0000_s2306" o:spt="202" type="#_x0000_t202" style="position:absolute;left:6318;top:9810;height:465;width:1742;" filled="f" coordsize="21600,21600">
                    <v:path/>
                    <v:fill on="f" focussize="0,0"/>
                    <v:stroke dashstyle="dash"/>
                    <v:imagedata o:title=""/>
                    <o:lock v:ext="edit"/>
                    <v:textbox>
                      <w:txbxContent>
                        <w:p>
                          <w:r>
                            <w:rPr>
                              <w:rFonts w:hint="eastAsia"/>
                            </w:rPr>
                            <w:t>S6-1：废原料菜</w:t>
                          </w:r>
                        </w:p>
                      </w:txbxContent>
                    </v:textbox>
                  </v:shape>
                  <v:shape id="_x0000_s2307" o:spid="_x0000_s2307" o:spt="202" type="#_x0000_t202" style="position:absolute;left:4645;top:14173;height:460;width:1314;"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装箱入库</w:t>
                          </w:r>
                        </w:p>
                      </w:txbxContent>
                    </v:textbox>
                  </v:shape>
                  <v:shape id="自选图形 1108" o:spid="_x0000_s2310" o:spt="32" type="#_x0000_t32" style="position:absolute;left:5306;top:10263;height:300;width:0;" filled="f" coordsize="21600,21600">
                    <v:path arrowok="t"/>
                    <v:fill on="f" focussize="0,0"/>
                    <v:stroke endarrow="block"/>
                    <v:imagedata o:title=""/>
                    <o:lock v:ext="edit"/>
                  </v:shape>
                  <v:shape id="自选图形 1108" o:spid="_x0000_s2311" o:spt="32" type="#_x0000_t32" style="position:absolute;left:5305;top:10987;height:300;width:0;" filled="f" coordsize="21600,21600">
                    <v:path arrowok="t"/>
                    <v:fill on="f" focussize="0,0"/>
                    <v:stroke endarrow="block"/>
                    <v:imagedata o:title=""/>
                    <o:lock v:ext="edit"/>
                  </v:shape>
                  <v:shape id="文本框 1109" o:spid="_x0000_s2312" o:spt="202" type="#_x0000_t202" style="position:absolute;left:4743;top:10572;height:420;width:1160;" filled="f" coordsize="21600,21600">
                    <v:path/>
                    <v:fill on="f" focussize="0,0"/>
                    <v:stroke joinstyle="miter"/>
                    <v:imagedata o:title=""/>
                    <o:lock v:ext="edit"/>
                    <v:textbox>
                      <w:txbxContent>
                        <w:p>
                          <w:pPr>
                            <w:jc w:val="center"/>
                          </w:pPr>
                          <w:r>
                            <w:rPr>
                              <w:rFonts w:hint="eastAsia"/>
                            </w:rPr>
                            <w:t>烘烤</w:t>
                          </w:r>
                        </w:p>
                      </w:txbxContent>
                    </v:textbox>
                  </v:shape>
                  <v:shape id="文本框 1109" o:spid="_x0000_s2314" o:spt="202" type="#_x0000_t202" style="position:absolute;left:6305;top:10587;height:440;width:1765;" filled="f" coordsize="21600,21600">
                    <v:path/>
                    <v:fill on="f" focussize="0,0"/>
                    <v:stroke dashstyle="dash"/>
                    <v:imagedata o:title=""/>
                    <o:lock v:ext="edit"/>
                    <v:textbox>
                      <w:txbxContent>
                        <w:p>
                          <w:pPr>
                            <w:jc w:val="center"/>
                          </w:pPr>
                          <w:r>
                            <w:rPr>
                              <w:rFonts w:hint="eastAsia"/>
                            </w:rPr>
                            <w:t>水蒸气</w:t>
                          </w:r>
                        </w:p>
                      </w:txbxContent>
                    </v:textbox>
                  </v:shape>
                  <v:shape id="自选图形 1108" o:spid="_x0000_s2320" o:spt="32" type="#_x0000_t32" style="position:absolute;left:5318;top:11699;height:300;width:0;" filled="f" coordsize="21600,21600">
                    <v:path arrowok="t"/>
                    <v:fill on="f" focussize="0,0"/>
                    <v:stroke endarrow="block"/>
                    <v:imagedata o:title=""/>
                    <o:lock v:ext="edit"/>
                  </v:shape>
                  <v:shape id="自选图形 1108" o:spid="_x0000_s2325" o:spt="32" type="#_x0000_t32" style="position:absolute;left:5305;top:12412;height:300;width:0;" filled="f" coordsize="21600,21600">
                    <v:path arrowok="t"/>
                    <v:fill on="f" focussize="0,0"/>
                    <v:stroke endarrow="block"/>
                    <v:imagedata o:title=""/>
                    <o:lock v:ext="edit"/>
                  </v:shape>
                  <v:shape id="文本框 1109" o:spid="_x0000_s2326" o:spt="202" type="#_x0000_t202" style="position:absolute;left:4568;top:12699;height:420;width:1420;" filled="f" coordsize="21600,21600">
                    <v:path/>
                    <v:fill on="f" focussize="0,0"/>
                    <v:stroke joinstyle="miter"/>
                    <v:imagedata o:title=""/>
                    <o:lock v:ext="edit"/>
                    <v:textbox>
                      <w:txbxContent>
                        <w:p>
                          <w:pPr>
                            <w:jc w:val="center"/>
                          </w:pPr>
                          <w:r>
                            <w:rPr>
                              <w:rFonts w:hint="eastAsia"/>
                            </w:rPr>
                            <w:t>冷却切片</w:t>
                          </w:r>
                        </w:p>
                      </w:txbxContent>
                    </v:textbox>
                  </v:shape>
                  <v:shape id="自选图形 1108" o:spid="_x0000_s2327" o:spt="32" type="#_x0000_t32" style="position:absolute;left:5292;top:13136;height:300;width:0;" filled="f" coordsize="21600,21600">
                    <v:path arrowok="t"/>
                    <v:fill on="f" focussize="0,0"/>
                    <v:stroke endarrow="block"/>
                    <v:imagedata o:title=""/>
                    <o:lock v:ext="edit"/>
                  </v:shape>
                  <v:shape id="文本框 1109" o:spid="_x0000_s2328" o:spt="202" type="#_x0000_t202" style="position:absolute;left:4593;top:13437;height:420;width:1420;" filled="f" coordsize="21600,21600">
                    <v:path/>
                    <v:fill on="f" focussize="0,0"/>
                    <v:stroke joinstyle="miter"/>
                    <v:imagedata o:title=""/>
                    <o:lock v:ext="edit"/>
                    <v:textbox>
                      <w:txbxContent>
                        <w:p>
                          <w:pPr>
                            <w:jc w:val="center"/>
                          </w:pPr>
                          <w:r>
                            <w:rPr>
                              <w:rFonts w:hint="eastAsia"/>
                            </w:rPr>
                            <w:t>包装、金检</w:t>
                          </w:r>
                        </w:p>
                      </w:txbxContent>
                    </v:textbox>
                  </v:shape>
                  <v:shape id="自选图形 1108" o:spid="_x0000_s2329" o:spt="32" type="#_x0000_t32" style="position:absolute;left:5279;top:13874;height:300;width:0;" filled="f" coordsize="21600,21600">
                    <v:path arrowok="t"/>
                    <v:fill on="f" focussize="0,0"/>
                    <v:stroke endarrow="block"/>
                    <v:imagedata o:title=""/>
                    <o:lock v:ext="edit"/>
                  </v:shape>
                  <v:shape id="自选图形 1120" o:spid="_x0000_s2330" o:spt="32" type="#_x0000_t32" style="position:absolute;left:5906;top:12201;flip:y;height:0;width:420;" filled="f" coordsize="21600,21600">
                    <v:path arrowok="t"/>
                    <v:fill on="f" focussize="0,0"/>
                    <v:stroke dashstyle="dash" endarrow="block"/>
                    <v:imagedata o:title=""/>
                    <o:lock v:ext="edit"/>
                  </v:shape>
                  <v:shape id="文本框 1109" o:spid="_x0000_s2331" o:spt="202" type="#_x0000_t202" style="position:absolute;left:6318;top:11988;height:440;width:1715;" filled="f" coordsize="21600,21600">
                    <v:path/>
                    <v:fill on="f" focussize="0,0"/>
                    <v:stroke dashstyle="dash"/>
                    <v:imagedata o:title=""/>
                    <o:lock v:ext="edit"/>
                    <v:textbox>
                      <w:txbxContent>
                        <w:p>
                          <w:pPr>
                            <w:jc w:val="center"/>
                          </w:pPr>
                          <w:r>
                            <w:rPr>
                              <w:rFonts w:hint="eastAsia"/>
                            </w:rPr>
                            <w:t>水蒸气</w:t>
                          </w:r>
                        </w:p>
                      </w:txbxContent>
                    </v:textbox>
                  </v:shape>
                  <v:shape id="自选图形 1120" o:spid="_x0000_s2332" o:spt="32" type="#_x0000_t32" style="position:absolute;left:6005;top:12899;flip:y;height:0;width:420;" filled="f" coordsize="21600,21600">
                    <v:path arrowok="t"/>
                    <v:fill on="f" focussize="0,0"/>
                    <v:stroke dashstyle="dash" endarrow="block"/>
                    <v:imagedata o:title=""/>
                    <o:lock v:ext="edit"/>
                  </v:shape>
                  <v:shape id="文本框 1109" o:spid="_x0000_s2333" o:spt="202" type="#_x0000_t202" style="position:absolute;left:6406;top:12712;height:428;width:1765;" filled="f" coordsize="21600,21600">
                    <v:path/>
                    <v:fill on="f" focussize="0,0"/>
                    <v:stroke dashstyle="dash"/>
                    <v:imagedata o:title=""/>
                    <o:lock v:ext="edit"/>
                    <v:textbox>
                      <w:txbxContent>
                        <w:p>
                          <w:r>
                            <w:rPr>
                              <w:rFonts w:hint="eastAsia"/>
                            </w:rPr>
                            <w:t>S6-2：废边角料菜</w:t>
                          </w:r>
                        </w:p>
                      </w:txbxContent>
                    </v:textbox>
                  </v:shape>
                  <v:shape id="自选图形 1108" o:spid="_x0000_s2334" o:spt="32" type="#_x0000_t32" style="position:absolute;left:4318;top:13655;flip:y;height:6;width:271;" filled="f" coordsize="21600,21600">
                    <v:path arrowok="t"/>
                    <v:fill on="f" focussize="0,0"/>
                    <v:stroke endarrow="block"/>
                    <v:imagedata o:title=""/>
                    <o:lock v:ext="edit"/>
                  </v:shape>
                  <v:shape id="_x0000_s2335" o:spid="_x0000_s2335" o:spt="202" type="#_x0000_t202" style="position:absolute;left:3093;top:13350;height:646;width:1300;" filled="f" stroked="f" coordsize="21600,21600">
                    <v:path/>
                    <v:fill on="f" focussize="0,0"/>
                    <v:stroke on="f" joinstyle="miter"/>
                    <v:imagedata o:title=""/>
                    <o:lock v:ext="edit"/>
                    <v:textbox>
                      <w:txbxContent>
                        <w:p>
                          <w:pPr>
                            <w:rPr>
                              <w:rFonts w:ascii="宋体" w:hAnsi="宋体"/>
                              <w:szCs w:val="21"/>
                            </w:rPr>
                          </w:pPr>
                          <w:r>
                            <w:rPr>
                              <w:rFonts w:hint="eastAsia" w:ascii="宋体" w:hAnsi="宋体"/>
                              <w:szCs w:val="21"/>
                            </w:rPr>
                            <w:t>外包装、干燥剂</w:t>
                          </w:r>
                        </w:p>
                      </w:txbxContent>
                    </v:textbox>
                  </v:shape>
                  <v:shape id="自选图形 1120" o:spid="_x0000_s2341" o:spt="32" type="#_x0000_t32" style="position:absolute;left:5905;top:10786;flip:y;height:0;width:420;" filled="f" coordsize="21600,21600">
                    <v:path arrowok="t"/>
                    <v:fill on="f" focussize="0,0"/>
                    <v:stroke dashstyle="dash" endarrow="block"/>
                    <v:imagedata o:title=""/>
                    <o:lock v:ext="edit"/>
                  </v:shape>
                  <v:shape id="文本框 1109" o:spid="_x0000_s2342" o:spt="202" type="#_x0000_t202" style="position:absolute;left:4718;top:11286;height:420;width:1160;" filled="f" coordsize="21600,21600">
                    <v:path/>
                    <v:fill on="f" focussize="0,0"/>
                    <v:stroke joinstyle="miter"/>
                    <v:imagedata o:title=""/>
                    <o:lock v:ext="edit"/>
                    <v:textbox>
                      <w:txbxContent>
                        <w:p>
                          <w:pPr>
                            <w:jc w:val="center"/>
                          </w:pPr>
                          <w:r>
                            <w:rPr>
                              <w:rFonts w:hint="eastAsia"/>
                            </w:rPr>
                            <w:t>煮料</w:t>
                          </w:r>
                        </w:p>
                      </w:txbxContent>
                    </v:textbox>
                  </v:shape>
                  <v:shape id="文本框 1109" o:spid="_x0000_s2343" o:spt="202" type="#_x0000_t202" style="position:absolute;left:4730;top:11986;height:420;width:1160;" filled="f" coordsize="21600,21600">
                    <v:path/>
                    <v:fill on="f" focussize="0,0"/>
                    <v:stroke joinstyle="miter"/>
                    <v:imagedata o:title=""/>
                    <o:lock v:ext="edit"/>
                    <v:textbox>
                      <w:txbxContent>
                        <w:p>
                          <w:pPr>
                            <w:jc w:val="center"/>
                          </w:pPr>
                          <w:r>
                            <w:rPr>
                              <w:rFonts w:hint="eastAsia"/>
                            </w:rPr>
                            <w:t>干燥</w:t>
                          </w:r>
                        </w:p>
                      </w:txbxContent>
                    </v:textbox>
                  </v:shape>
                  <v:shape id="自选图形 1120" o:spid="_x0000_s2344" o:spt="32" type="#_x0000_t32" style="position:absolute;left:5893;top:11486;flip:y;height:0;width:420;" filled="f" coordsize="21600,21600">
                    <v:path arrowok="t"/>
                    <v:fill on="f" focussize="0,0"/>
                    <v:stroke dashstyle="dash" endarrow="block"/>
                    <v:imagedata o:title=""/>
                    <o:lock v:ext="edit"/>
                  </v:shape>
                  <v:shape id="文本框 1109" o:spid="_x0000_s2345" o:spt="202" type="#_x0000_t202" style="position:absolute;left:6305;top:11312;height:440;width:1760;" filled="f" coordsize="21600,21600">
                    <v:path/>
                    <v:fill on="f" focussize="0,0"/>
                    <v:stroke dashstyle="dash"/>
                    <v:imagedata o:title=""/>
                    <o:lock v:ext="edit"/>
                    <v:textbox>
                      <w:txbxContent>
                        <w:p>
                          <w:pPr>
                            <w:jc w:val="center"/>
                          </w:pPr>
                          <w:r>
                            <w:rPr>
                              <w:rFonts w:hint="eastAsia"/>
                            </w:rPr>
                            <w:t>水蒸气</w:t>
                          </w:r>
                        </w:p>
                      </w:txbxContent>
                    </v:textbox>
                  </v:shape>
                  <v:shape id="自选图形 1108" o:spid="_x0000_s2346" o:spt="32" type="#_x0000_t32" style="position:absolute;left:4318;top:11493;flip:y;height:6;width:403;" filled="f" coordsize="21600,21600">
                    <v:path arrowok="t"/>
                    <v:fill on="f" focussize="0,0"/>
                    <v:stroke endarrow="block"/>
                    <v:imagedata o:title=""/>
                    <o:lock v:ext="edit"/>
                  </v:shape>
                  <v:shape id="文本框 1107" o:spid="_x0000_s2347" o:spt="202" type="#_x0000_t202" style="position:absolute;left:2606;top:11186;height:722;width:1640;" filled="f" stroked="f" coordsize="21600,21600">
                    <v:path/>
                    <v:fill on="f" focussize="0,0"/>
                    <v:stroke on="f" joinstyle="miter"/>
                    <v:imagedata o:title=""/>
                    <o:lock v:ext="edit"/>
                    <v:textbox>
                      <w:txbxContent>
                        <w:p>
                          <w:pPr>
                            <w:jc w:val="center"/>
                          </w:pPr>
                          <w:r>
                            <w:rPr>
                              <w:rFonts w:hint="eastAsia"/>
                            </w:rPr>
                            <w:t>香菇、白砂糖、生姜等</w:t>
                          </w:r>
                        </w:p>
                      </w:txbxContent>
                    </v:textbox>
                  </v:shape>
                  <w10:wrap type="none"/>
                  <w10:anchorlock/>
                </v:group>
              </w:pict>
            </w:r>
          </w:p>
          <w:p>
            <w:pPr>
              <w:snapToGrid w:val="0"/>
              <w:spacing w:line="360" w:lineRule="auto"/>
              <w:jc w:val="center"/>
              <w:rPr>
                <w:b/>
                <w:bCs/>
                <w:sz w:val="24"/>
              </w:rPr>
            </w:pPr>
            <w:r>
              <w:rPr>
                <w:b/>
                <w:bCs/>
                <w:sz w:val="24"/>
              </w:rPr>
              <w:t>图</w:t>
            </w:r>
            <w:r>
              <w:rPr>
                <w:rFonts w:hint="eastAsia"/>
                <w:b/>
                <w:bCs/>
                <w:sz w:val="24"/>
              </w:rPr>
              <w:t>2-7</w:t>
            </w:r>
            <w:r>
              <w:rPr>
                <w:b/>
                <w:bCs/>
                <w:sz w:val="24"/>
              </w:rPr>
              <w:t xml:space="preserve">  </w:t>
            </w:r>
            <w:r>
              <w:rPr>
                <w:rFonts w:hint="eastAsia"/>
                <w:b/>
                <w:sz w:val="24"/>
              </w:rPr>
              <w:t>夹心海苔生产</w:t>
            </w:r>
            <w:r>
              <w:rPr>
                <w:b/>
                <w:bCs/>
                <w:sz w:val="24"/>
              </w:rPr>
              <w:t>工艺流程及产污环节图</w:t>
            </w:r>
          </w:p>
          <w:p>
            <w:pPr>
              <w:snapToGrid w:val="0"/>
              <w:spacing w:line="360" w:lineRule="auto"/>
              <w:ind w:firstLine="482" w:firstLineChars="200"/>
              <w:rPr>
                <w:rFonts w:hAnsi="宋体"/>
                <w:b/>
                <w:sz w:val="24"/>
              </w:rPr>
            </w:pPr>
          </w:p>
          <w:p>
            <w:pPr>
              <w:snapToGrid w:val="0"/>
              <w:spacing w:line="360" w:lineRule="auto"/>
              <w:ind w:firstLine="482" w:firstLineChars="200"/>
              <w:rPr>
                <w:rFonts w:hAnsi="宋体"/>
                <w:bCs/>
                <w:sz w:val="24"/>
              </w:rPr>
            </w:pPr>
            <w:r>
              <w:rPr>
                <w:rFonts w:hAnsi="宋体"/>
                <w:b/>
                <w:sz w:val="24"/>
              </w:rPr>
              <w:t>生产工艺流程说明：</w:t>
            </w:r>
          </w:p>
          <w:p>
            <w:pPr>
              <w:spacing w:line="360" w:lineRule="auto"/>
              <w:ind w:firstLine="480" w:firstLineChars="200"/>
              <w:rPr>
                <w:rFonts w:hAnsi="宋体"/>
                <w:bCs/>
                <w:sz w:val="24"/>
              </w:rPr>
            </w:pPr>
            <w:r>
              <w:rPr>
                <w:rFonts w:hAnsi="宋体"/>
                <w:bCs/>
                <w:sz w:val="24"/>
              </w:rPr>
              <w:t>（</w:t>
            </w:r>
            <w:r>
              <w:rPr>
                <w:bCs/>
                <w:sz w:val="24"/>
              </w:rPr>
              <w:t>1</w:t>
            </w:r>
            <w:r>
              <w:rPr>
                <w:rFonts w:hAnsi="宋体"/>
                <w:bCs/>
                <w:sz w:val="24"/>
              </w:rPr>
              <w:t>）</w:t>
            </w:r>
            <w:r>
              <w:rPr>
                <w:rFonts w:hint="eastAsia" w:hAnsi="宋体"/>
                <w:bCs/>
                <w:sz w:val="24"/>
              </w:rPr>
              <w:t>预处理：将外购的紫菜、香菇、生姜等原料进行人工挑选，此过程主要废原料菜（S6-1）。</w:t>
            </w:r>
          </w:p>
          <w:p>
            <w:pPr>
              <w:spacing w:line="360" w:lineRule="auto"/>
              <w:ind w:firstLine="480" w:firstLineChars="200"/>
              <w:rPr>
                <w:rFonts w:hAnsi="宋体"/>
                <w:bCs/>
                <w:sz w:val="24"/>
              </w:rPr>
            </w:pPr>
            <w:r>
              <w:rPr>
                <w:rFonts w:hint="eastAsia" w:hAnsi="宋体"/>
                <w:bCs/>
                <w:sz w:val="24"/>
              </w:rPr>
              <w:t>（2）烘烤：将烘烤后的海苔进行电加热烘干，去除水分，主要产生水蒸气。</w:t>
            </w:r>
          </w:p>
          <w:p>
            <w:pPr>
              <w:spacing w:line="360" w:lineRule="auto"/>
              <w:ind w:firstLine="480" w:firstLineChars="200"/>
              <w:rPr>
                <w:rFonts w:hAnsi="宋体"/>
                <w:bCs/>
                <w:sz w:val="24"/>
              </w:rPr>
            </w:pPr>
            <w:r>
              <w:rPr>
                <w:rFonts w:hint="eastAsia" w:hAnsi="宋体"/>
                <w:bCs/>
                <w:sz w:val="24"/>
              </w:rPr>
              <w:t>（3）煮料：将干燥后紫菜加入各种辅助材料（包括白砂糖、生姜、香菇）以及新鲜水进行蒸煮，蒸煮工序在夹层锅内进行，使用蒸汽，主要产生水蒸气。</w:t>
            </w:r>
          </w:p>
          <w:p>
            <w:pPr>
              <w:spacing w:line="360" w:lineRule="auto"/>
              <w:ind w:firstLine="480" w:firstLineChars="200"/>
              <w:rPr>
                <w:b/>
                <w:sz w:val="24"/>
              </w:rPr>
            </w:pPr>
            <w:r>
              <w:rPr>
                <w:rFonts w:hint="eastAsia" w:hAnsi="宋体"/>
                <w:bCs/>
                <w:sz w:val="24"/>
              </w:rPr>
              <w:t>（4）干燥：对蒸煮后的紫菜进行电加热干燥，温度约100摄氏度，去除多余水分，此过程主要产生水蒸气。</w:t>
            </w:r>
          </w:p>
          <w:p>
            <w:pPr>
              <w:spacing w:line="360" w:lineRule="auto"/>
              <w:ind w:firstLine="480" w:firstLineChars="200"/>
              <w:rPr>
                <w:bCs/>
                <w:sz w:val="24"/>
              </w:rPr>
            </w:pPr>
            <w:r>
              <w:rPr>
                <w:rFonts w:hint="eastAsia"/>
                <w:bCs/>
                <w:sz w:val="24"/>
              </w:rPr>
              <w:t>（5）冷却切片：清洗后的谷物放入炒制机中，将谷物炒熟，干燥后的半成品经自然冷却，然后输送到切片机内进行分切成型，主要产生废边角料（S6-2）和机械设备噪声。</w:t>
            </w:r>
          </w:p>
          <w:p>
            <w:pPr>
              <w:spacing w:line="360" w:lineRule="auto"/>
              <w:ind w:firstLine="480" w:firstLineChars="200"/>
              <w:rPr>
                <w:bCs/>
                <w:sz w:val="24"/>
              </w:rPr>
            </w:pPr>
            <w:r>
              <w:rPr>
                <w:rFonts w:hint="eastAsia"/>
                <w:bCs/>
                <w:sz w:val="24"/>
              </w:rPr>
              <w:t>（6）包装、金检：将切片后的成品通过包装机进行包装，将内包装后的产品经过金属检测仪检测。</w:t>
            </w:r>
          </w:p>
          <w:p>
            <w:pPr>
              <w:pStyle w:val="2"/>
              <w:ind w:firstLine="480" w:firstLineChars="200"/>
              <w:rPr>
                <w:bCs/>
              </w:rPr>
            </w:pPr>
            <w:r>
              <w:rPr>
                <w:rFonts w:hint="eastAsia"/>
                <w:bCs/>
              </w:rPr>
              <w:t>（7）装箱入库：检测合格后的产品通过封箱机进行装箱，入库待售。</w:t>
            </w: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pStyle w:val="2"/>
              <w:rPr>
                <w:bCs/>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82" w:firstLineChars="200"/>
              <w:rPr>
                <w:b/>
                <w:sz w:val="24"/>
              </w:rPr>
            </w:pPr>
          </w:p>
          <w:p>
            <w:pPr>
              <w:spacing w:line="360" w:lineRule="auto"/>
              <w:ind w:firstLine="420" w:firstLineChars="200"/>
              <w:rPr>
                <w:bCs/>
                <w:szCs w:val="21"/>
              </w:rPr>
            </w:pPr>
          </w:p>
        </w:tc>
      </w:tr>
    </w:tbl>
    <w:p>
      <w:pPr>
        <w:adjustRightInd w:val="0"/>
        <w:snapToGrid w:val="0"/>
        <w:rPr>
          <w:rFonts w:ascii="宋体" w:hAnsi="宋体"/>
          <w:bCs/>
          <w:szCs w:val="21"/>
        </w:rPr>
        <w:sectPr>
          <w:pgSz w:w="11906" w:h="16838"/>
          <w:pgMar w:top="1701" w:right="1531" w:bottom="1701" w:left="1531" w:header="851" w:footer="851" w:gutter="0"/>
          <w:cols w:space="720" w:num="1"/>
          <w:docGrid w:linePitch="312" w:charSpace="0"/>
        </w:sectPr>
      </w:pPr>
    </w:p>
    <w:p>
      <w:pPr>
        <w:snapToGrid w:val="0"/>
        <w:spacing w:before="120" w:beforeLines="50" w:line="360" w:lineRule="auto"/>
        <w:ind w:firstLine="480" w:firstLineChars="200"/>
        <w:rPr>
          <w:sz w:val="24"/>
        </w:rPr>
      </w:pPr>
      <w:r>
        <w:rPr>
          <w:sz w:val="24"/>
        </w:rPr>
        <w:t>项目运营过程中产生的污染物主要包括如下，见下表。</w:t>
      </w:r>
    </w:p>
    <w:p>
      <w:pPr>
        <w:spacing w:line="360" w:lineRule="auto"/>
        <w:jc w:val="center"/>
        <w:rPr>
          <w:b/>
          <w:sz w:val="24"/>
        </w:rPr>
      </w:pPr>
      <w:r>
        <w:rPr>
          <w:b/>
          <w:sz w:val="24"/>
        </w:rPr>
        <w:t>表</w:t>
      </w:r>
      <w:r>
        <w:rPr>
          <w:rFonts w:hint="eastAsia"/>
          <w:b/>
          <w:sz w:val="24"/>
        </w:rPr>
        <w:t>2-7</w:t>
      </w:r>
      <w:r>
        <w:rPr>
          <w:b/>
          <w:sz w:val="24"/>
        </w:rPr>
        <w:t xml:space="preserve">  项目主要产污环节一览表</w:t>
      </w:r>
    </w:p>
    <w:tbl>
      <w:tblPr>
        <w:tblStyle w:val="22"/>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992"/>
        <w:gridCol w:w="1985"/>
        <w:gridCol w:w="3320"/>
        <w:gridCol w:w="2350"/>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52"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序号</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污染物类别</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污染源名称及编号</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产生环节</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主要污染因子</w:t>
            </w:r>
          </w:p>
        </w:tc>
        <w:tc>
          <w:tcPr>
            <w:tcW w:w="5076"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拟采取的措施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restart"/>
            <w:tcBorders>
              <w:top w:val="single" w:color="auto" w:sz="4" w:space="0"/>
              <w:left w:val="single" w:color="auto" w:sz="4" w:space="0"/>
              <w:right w:val="single" w:color="auto" w:sz="4" w:space="0"/>
            </w:tcBorders>
            <w:vAlign w:val="center"/>
          </w:tcPr>
          <w:p>
            <w:pPr>
              <w:jc w:val="center"/>
              <w:rPr>
                <w:szCs w:val="21"/>
              </w:rPr>
            </w:pPr>
            <w:r>
              <w:rPr>
                <w:szCs w:val="21"/>
              </w:rPr>
              <w:t>1</w:t>
            </w:r>
          </w:p>
        </w:tc>
        <w:tc>
          <w:tcPr>
            <w:tcW w:w="992" w:type="dxa"/>
            <w:vMerge w:val="restart"/>
            <w:tcBorders>
              <w:top w:val="single" w:color="auto" w:sz="4" w:space="0"/>
              <w:left w:val="single" w:color="auto" w:sz="4" w:space="0"/>
              <w:right w:val="single" w:color="auto" w:sz="4" w:space="0"/>
            </w:tcBorders>
            <w:vAlign w:val="center"/>
          </w:tcPr>
          <w:p>
            <w:pPr>
              <w:jc w:val="center"/>
              <w:rPr>
                <w:szCs w:val="21"/>
              </w:rPr>
            </w:pPr>
            <w:r>
              <w:rPr>
                <w:szCs w:val="21"/>
              </w:rPr>
              <w:t>废气</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有机废气</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片材制作、吸塑、注塑、吹塑工序产生的有机废气</w:t>
            </w:r>
          </w:p>
        </w:tc>
        <w:tc>
          <w:tcPr>
            <w:tcW w:w="2350"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非甲烷总烃</w:t>
            </w:r>
          </w:p>
        </w:tc>
        <w:tc>
          <w:tcPr>
            <w:tcW w:w="5076"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集气罩收集+二级活性炭吸附处理后通过15m高2#排气筒排放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破碎粉尘</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废边角料、不合格品粉碎加工工序</w:t>
            </w:r>
          </w:p>
        </w:tc>
        <w:tc>
          <w:tcPr>
            <w:tcW w:w="2350"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颗粒物</w:t>
            </w:r>
          </w:p>
        </w:tc>
        <w:tc>
          <w:tcPr>
            <w:tcW w:w="5076"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集气罩收集+布袋除尘器处理后通过15m高3#排气筒排放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水蒸气</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蒸煮、干燥、烘干、炒制</w:t>
            </w:r>
          </w:p>
        </w:tc>
        <w:tc>
          <w:tcPr>
            <w:tcW w:w="2350"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水蒸气</w:t>
            </w:r>
          </w:p>
        </w:tc>
        <w:tc>
          <w:tcPr>
            <w:tcW w:w="5076"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集气罩收集后用风机抽出，通过车间侧壁排放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油烟</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食堂</w:t>
            </w:r>
          </w:p>
        </w:tc>
        <w:tc>
          <w:tcPr>
            <w:tcW w:w="2350"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油烟</w:t>
            </w:r>
          </w:p>
        </w:tc>
        <w:tc>
          <w:tcPr>
            <w:tcW w:w="5076"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集气罩收集+油烟净化器处理后通过15m高4#排气筒排放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restart"/>
            <w:tcBorders>
              <w:top w:val="single" w:color="auto" w:sz="4" w:space="0"/>
              <w:left w:val="single" w:color="auto" w:sz="4" w:space="0"/>
              <w:right w:val="single" w:color="auto" w:sz="4" w:space="0"/>
            </w:tcBorders>
            <w:vAlign w:val="center"/>
          </w:tcPr>
          <w:p>
            <w:pPr>
              <w:jc w:val="center"/>
              <w:rPr>
                <w:szCs w:val="21"/>
              </w:rPr>
            </w:pPr>
            <w:r>
              <w:rPr>
                <w:szCs w:val="21"/>
              </w:rPr>
              <w:t>2</w:t>
            </w:r>
          </w:p>
        </w:tc>
        <w:tc>
          <w:tcPr>
            <w:tcW w:w="992" w:type="dxa"/>
            <w:vMerge w:val="restart"/>
            <w:tcBorders>
              <w:top w:val="single" w:color="auto" w:sz="4" w:space="0"/>
              <w:left w:val="single" w:color="auto" w:sz="4" w:space="0"/>
              <w:right w:val="single" w:color="auto" w:sz="4" w:space="0"/>
            </w:tcBorders>
            <w:vAlign w:val="center"/>
          </w:tcPr>
          <w:p>
            <w:pPr>
              <w:jc w:val="center"/>
              <w:rPr>
                <w:szCs w:val="21"/>
              </w:rPr>
            </w:pPr>
            <w:r>
              <w:rPr>
                <w:szCs w:val="21"/>
              </w:rPr>
              <w:t>废水</w:t>
            </w:r>
          </w:p>
        </w:tc>
        <w:tc>
          <w:tcPr>
            <w:tcW w:w="1985"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生产废水</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设备清洗、地面冲洗、煮料、芝麻清洗产生的废水</w:t>
            </w:r>
          </w:p>
        </w:tc>
        <w:tc>
          <w:tcPr>
            <w:tcW w:w="2350" w:type="dxa"/>
            <w:tcBorders>
              <w:top w:val="single" w:color="auto" w:sz="4" w:space="0"/>
              <w:left w:val="single" w:color="auto" w:sz="4" w:space="0"/>
              <w:right w:val="single" w:color="auto" w:sz="4" w:space="0"/>
            </w:tcBorders>
            <w:vAlign w:val="center"/>
          </w:tcPr>
          <w:p>
            <w:pPr>
              <w:jc w:val="center"/>
              <w:rPr>
                <w:szCs w:val="21"/>
              </w:rPr>
            </w:pPr>
            <w:r>
              <w:rPr>
                <w:spacing w:val="-2"/>
                <w:szCs w:val="21"/>
              </w:rPr>
              <w:t>COD、</w:t>
            </w:r>
            <w:r>
              <w:rPr>
                <w:rFonts w:hint="eastAsia"/>
                <w:spacing w:val="-2"/>
                <w:szCs w:val="21"/>
              </w:rPr>
              <w:t>BOD</w:t>
            </w:r>
            <w:r>
              <w:rPr>
                <w:rFonts w:hint="eastAsia"/>
                <w:spacing w:val="-2"/>
                <w:szCs w:val="21"/>
                <w:vertAlign w:val="subscript"/>
              </w:rPr>
              <w:t>5</w:t>
            </w:r>
            <w:r>
              <w:rPr>
                <w:rFonts w:hint="eastAsia"/>
                <w:spacing w:val="-2"/>
                <w:szCs w:val="21"/>
              </w:rPr>
              <w:t>、</w:t>
            </w:r>
            <w:r>
              <w:rPr>
                <w:spacing w:val="-2"/>
                <w:szCs w:val="21"/>
              </w:rPr>
              <w:t>SS、</w:t>
            </w:r>
            <w:r>
              <w:rPr>
                <w:rFonts w:hint="eastAsia"/>
                <w:spacing w:val="-2"/>
                <w:szCs w:val="21"/>
              </w:rPr>
              <w:t>NH</w:t>
            </w:r>
            <w:r>
              <w:rPr>
                <w:rFonts w:hint="eastAsia"/>
                <w:spacing w:val="-2"/>
                <w:szCs w:val="21"/>
                <w:vertAlign w:val="subscript"/>
              </w:rPr>
              <w:t>3</w:t>
            </w:r>
            <w:r>
              <w:rPr>
                <w:rFonts w:hint="eastAsia"/>
                <w:spacing w:val="-2"/>
                <w:szCs w:val="21"/>
              </w:rPr>
              <w:t>-N</w:t>
            </w:r>
          </w:p>
        </w:tc>
        <w:tc>
          <w:tcPr>
            <w:tcW w:w="5076"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经厂区污水处理站处理后接管污水管网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生活污水</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员工生活产生的废水</w:t>
            </w:r>
          </w:p>
        </w:tc>
        <w:tc>
          <w:tcPr>
            <w:tcW w:w="2350" w:type="dxa"/>
            <w:tcBorders>
              <w:top w:val="single" w:color="auto" w:sz="4" w:space="0"/>
              <w:left w:val="single" w:color="auto" w:sz="4" w:space="0"/>
              <w:right w:val="single" w:color="auto" w:sz="4" w:space="0"/>
            </w:tcBorders>
            <w:vAlign w:val="center"/>
          </w:tcPr>
          <w:p>
            <w:pPr>
              <w:jc w:val="center"/>
              <w:rPr>
                <w:spacing w:val="-2"/>
                <w:szCs w:val="21"/>
              </w:rPr>
            </w:pPr>
            <w:r>
              <w:rPr>
                <w:spacing w:val="-2"/>
                <w:szCs w:val="21"/>
              </w:rPr>
              <w:t>COD、SS、</w:t>
            </w:r>
            <w:r>
              <w:rPr>
                <w:rFonts w:hint="eastAsia"/>
                <w:spacing w:val="-2"/>
                <w:szCs w:val="21"/>
              </w:rPr>
              <w:t>NH</w:t>
            </w:r>
            <w:r>
              <w:rPr>
                <w:rFonts w:hint="eastAsia"/>
                <w:spacing w:val="-2"/>
                <w:szCs w:val="21"/>
                <w:vertAlign w:val="subscript"/>
              </w:rPr>
              <w:t>3</w:t>
            </w:r>
            <w:r>
              <w:rPr>
                <w:rFonts w:hint="eastAsia"/>
                <w:spacing w:val="-2"/>
                <w:szCs w:val="21"/>
              </w:rPr>
              <w:t>-N、TP、动植物油</w:t>
            </w:r>
          </w:p>
        </w:tc>
        <w:tc>
          <w:tcPr>
            <w:tcW w:w="5076"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经化粪池预处理后接管污水管网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restart"/>
            <w:tcBorders>
              <w:top w:val="single" w:color="auto" w:sz="4" w:space="0"/>
              <w:left w:val="single" w:color="auto" w:sz="4" w:space="0"/>
              <w:right w:val="single" w:color="auto" w:sz="4" w:space="0"/>
            </w:tcBorders>
            <w:vAlign w:val="center"/>
          </w:tcPr>
          <w:p>
            <w:pPr>
              <w:jc w:val="center"/>
              <w:rPr>
                <w:szCs w:val="21"/>
              </w:rPr>
            </w:pPr>
            <w:r>
              <w:rPr>
                <w:szCs w:val="21"/>
              </w:rPr>
              <w:t>3</w:t>
            </w:r>
          </w:p>
        </w:tc>
        <w:tc>
          <w:tcPr>
            <w:tcW w:w="992" w:type="dxa"/>
            <w:vMerge w:val="restart"/>
            <w:tcBorders>
              <w:top w:val="single" w:color="auto" w:sz="4" w:space="0"/>
              <w:left w:val="single" w:color="auto" w:sz="4" w:space="0"/>
              <w:right w:val="single" w:color="auto" w:sz="4" w:space="0"/>
            </w:tcBorders>
            <w:vAlign w:val="center"/>
          </w:tcPr>
          <w:p>
            <w:pPr>
              <w:jc w:val="center"/>
              <w:rPr>
                <w:szCs w:val="21"/>
              </w:rPr>
            </w:pPr>
            <w:r>
              <w:rPr>
                <w:szCs w:val="21"/>
              </w:rPr>
              <w:t>固废</w:t>
            </w:r>
          </w:p>
        </w:tc>
        <w:tc>
          <w:tcPr>
            <w:tcW w:w="1985"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废包装袋S1-1</w:t>
            </w:r>
          </w:p>
        </w:tc>
        <w:tc>
          <w:tcPr>
            <w:tcW w:w="3320"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注塑工序塑料颗粒拆包产生的废包装袋</w:t>
            </w:r>
          </w:p>
        </w:tc>
        <w:tc>
          <w:tcPr>
            <w:tcW w:w="2350" w:type="dxa"/>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废包装袋</w:t>
            </w:r>
          </w:p>
        </w:tc>
        <w:tc>
          <w:tcPr>
            <w:tcW w:w="5076" w:type="dxa"/>
            <w:tcBorders>
              <w:top w:val="single" w:color="auto" w:sz="4" w:space="0"/>
              <w:left w:val="single" w:color="auto" w:sz="4" w:space="0"/>
              <w:right w:val="single" w:color="auto" w:sz="4" w:space="0"/>
            </w:tcBorders>
            <w:vAlign w:val="center"/>
          </w:tcPr>
          <w:p>
            <w:pPr>
              <w:jc w:val="center"/>
              <w:rPr>
                <w:szCs w:val="21"/>
              </w:rPr>
            </w:pPr>
            <w:r>
              <w:rPr>
                <w:szCs w:val="21"/>
              </w:rPr>
              <w:t>为一般固废，</w:t>
            </w:r>
            <w:r>
              <w:rPr>
                <w:rFonts w:hint="eastAsia"/>
                <w:szCs w:val="21"/>
              </w:rPr>
              <w:t>收集后外卖处置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废边角料S1-2</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裁断工序产生的废边角料</w:t>
            </w:r>
          </w:p>
        </w:tc>
        <w:tc>
          <w:tcPr>
            <w:tcW w:w="2350"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塑料</w:t>
            </w:r>
          </w:p>
        </w:tc>
        <w:tc>
          <w:tcPr>
            <w:tcW w:w="5076" w:type="dxa"/>
            <w:vMerge w:val="restart"/>
            <w:tcBorders>
              <w:left w:val="single" w:color="auto" w:sz="4" w:space="0"/>
              <w:right w:val="single" w:color="auto" w:sz="4" w:space="0"/>
            </w:tcBorders>
            <w:vAlign w:val="center"/>
          </w:tcPr>
          <w:p>
            <w:pPr>
              <w:jc w:val="center"/>
              <w:rPr>
                <w:szCs w:val="21"/>
              </w:rPr>
            </w:pPr>
            <w:r>
              <w:rPr>
                <w:rFonts w:hint="eastAsia"/>
                <w:szCs w:val="21"/>
              </w:rPr>
              <w:t>破碎后回用于生产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不合格品S2-1、S3-1</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检验工序产生的不合格品</w:t>
            </w:r>
          </w:p>
        </w:tc>
        <w:tc>
          <w:tcPr>
            <w:tcW w:w="2350" w:type="dxa"/>
            <w:vMerge w:val="continue"/>
            <w:tcBorders>
              <w:left w:val="single" w:color="auto" w:sz="4" w:space="0"/>
              <w:bottom w:val="single" w:color="auto" w:sz="4" w:space="0"/>
              <w:right w:val="single" w:color="auto" w:sz="4" w:space="0"/>
            </w:tcBorders>
            <w:vAlign w:val="center"/>
          </w:tcPr>
          <w:p>
            <w:pPr>
              <w:jc w:val="center"/>
              <w:rPr>
                <w:szCs w:val="21"/>
              </w:rPr>
            </w:pPr>
          </w:p>
        </w:tc>
        <w:tc>
          <w:tcPr>
            <w:tcW w:w="5076"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生活垃圾</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员工生活产生的生活垃圾</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生活垃圾</w:t>
            </w:r>
          </w:p>
        </w:tc>
        <w:tc>
          <w:tcPr>
            <w:tcW w:w="5076" w:type="dxa"/>
            <w:vMerge w:val="restart"/>
            <w:tcBorders>
              <w:left w:val="single" w:color="auto" w:sz="4" w:space="0"/>
              <w:right w:val="single" w:color="auto" w:sz="4" w:space="0"/>
            </w:tcBorders>
            <w:vAlign w:val="center"/>
          </w:tcPr>
          <w:p>
            <w:pPr>
              <w:jc w:val="center"/>
              <w:rPr>
                <w:szCs w:val="21"/>
              </w:rPr>
            </w:pPr>
            <w:r>
              <w:rPr>
                <w:szCs w:val="21"/>
              </w:rPr>
              <w:t>为一般固废，交由环卫统一处理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收集粉尘</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布袋处理收集的粉尘</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塑料颗粒物</w:t>
            </w:r>
          </w:p>
        </w:tc>
        <w:tc>
          <w:tcPr>
            <w:tcW w:w="5076"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污水处理污泥</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废水处理设施产生的污泥</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泥沙等</w:t>
            </w:r>
          </w:p>
        </w:tc>
        <w:tc>
          <w:tcPr>
            <w:tcW w:w="5076"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2" w:type="dxa"/>
            <w:vMerge w:val="continue"/>
            <w:tcBorders>
              <w:left w:val="single" w:color="auto" w:sz="4" w:space="0"/>
              <w:right w:val="single" w:color="auto" w:sz="4" w:space="0"/>
            </w:tcBorders>
            <w:vAlign w:val="center"/>
          </w:tcPr>
          <w:p>
            <w:pPr>
              <w:jc w:val="center"/>
              <w:rPr>
                <w:szCs w:val="21"/>
              </w:rPr>
            </w:pPr>
          </w:p>
        </w:tc>
        <w:tc>
          <w:tcPr>
            <w:tcW w:w="992" w:type="dxa"/>
            <w:vMerge w:val="continue"/>
            <w:tcBorders>
              <w:left w:val="single" w:color="auto" w:sz="4" w:space="0"/>
              <w:right w:val="single" w:color="auto" w:sz="4" w:space="0"/>
            </w:tcBorders>
            <w:vAlign w:val="center"/>
          </w:tcPr>
          <w:p>
            <w:pPr>
              <w:jc w:val="center"/>
              <w:rPr>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废布袋</w:t>
            </w:r>
          </w:p>
        </w:tc>
        <w:tc>
          <w:tcPr>
            <w:tcW w:w="332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废气处理设施产生的废布袋</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废布袋</w:t>
            </w:r>
          </w:p>
        </w:tc>
        <w:tc>
          <w:tcPr>
            <w:tcW w:w="5076" w:type="dxa"/>
            <w:vMerge w:val="continue"/>
            <w:tcBorders>
              <w:left w:val="single" w:color="auto" w:sz="4" w:space="0"/>
              <w:right w:val="single" w:color="auto" w:sz="4" w:space="0"/>
            </w:tcBorders>
            <w:vAlign w:val="center"/>
          </w:tcPr>
          <w:p>
            <w:pPr>
              <w:jc w:val="center"/>
              <w:rPr>
                <w:szCs w:val="21"/>
              </w:rPr>
            </w:pPr>
          </w:p>
        </w:tc>
      </w:tr>
    </w:tbl>
    <w:p>
      <w:pPr>
        <w:adjustRightInd w:val="0"/>
        <w:snapToGrid w:val="0"/>
        <w:rPr>
          <w:rFonts w:ascii="宋体" w:hAnsi="宋体"/>
          <w:bCs/>
          <w:szCs w:val="21"/>
        </w:rPr>
        <w:sectPr>
          <w:pgSz w:w="16838" w:h="11906" w:orient="landscape"/>
          <w:pgMar w:top="1531" w:right="1701" w:bottom="1531" w:left="1701" w:header="851" w:footer="851" w:gutter="0"/>
          <w:cols w:space="720" w:num="1"/>
          <w:docGrid w:linePitch="312" w:charSpace="0"/>
        </w:sect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8"/>
        <w:gridCol w:w="84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548" w:type="dxa"/>
            <w:vAlign w:val="center"/>
          </w:tcPr>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与</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项</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目</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有</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关</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的</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原</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有</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环</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境</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污</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染</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问</w:t>
            </w:r>
          </w:p>
          <w:p>
            <w:pPr>
              <w:adjustRightInd w:val="0"/>
              <w:snapToGrid w:val="0"/>
              <w:spacing w:line="480" w:lineRule="auto"/>
              <w:jc w:val="center"/>
              <w:rPr>
                <w:rFonts w:ascii="宋体" w:hAnsi="宋体"/>
                <w:bCs/>
                <w:szCs w:val="21"/>
              </w:rPr>
            </w:pPr>
            <w:r>
              <w:rPr>
                <w:rFonts w:hint="eastAsia" w:ascii="宋体" w:hAnsi="宋体" w:cs="宋体"/>
                <w:kern w:val="0"/>
                <w:sz w:val="28"/>
                <w:szCs w:val="28"/>
              </w:rPr>
              <w:t>题</w:t>
            </w:r>
          </w:p>
        </w:tc>
        <w:tc>
          <w:tcPr>
            <w:tcW w:w="8436" w:type="dxa"/>
            <w:vAlign w:val="center"/>
          </w:tcPr>
          <w:p>
            <w:pPr>
              <w:spacing w:line="360" w:lineRule="auto"/>
              <w:rPr>
                <w:b/>
                <w:bCs/>
                <w:sz w:val="24"/>
              </w:rPr>
            </w:pPr>
            <w:r>
              <w:rPr>
                <w:b/>
                <w:bCs/>
                <w:sz w:val="24"/>
              </w:rPr>
              <w:t>与本项目有关的原有污染情况及主要环境问题：</w:t>
            </w:r>
          </w:p>
          <w:p>
            <w:pPr>
              <w:spacing w:line="360" w:lineRule="auto"/>
              <w:ind w:firstLine="480" w:firstLineChars="200"/>
              <w:rPr>
                <w:b/>
                <w:bCs/>
                <w:sz w:val="24"/>
              </w:rPr>
            </w:pPr>
            <w:r>
              <w:rPr>
                <w:sz w:val="24"/>
              </w:rPr>
              <w:t>本项目为</w:t>
            </w:r>
            <w:r>
              <w:rPr>
                <w:rFonts w:hint="eastAsia"/>
                <w:sz w:val="24"/>
              </w:rPr>
              <w:t>扩建</w:t>
            </w:r>
            <w:r>
              <w:rPr>
                <w:sz w:val="24"/>
              </w:rPr>
              <w:t>项目，项目位于</w:t>
            </w:r>
            <w:r>
              <w:rPr>
                <w:rFonts w:hint="eastAsia" w:hAnsi="宋体"/>
                <w:sz w:val="24"/>
              </w:rPr>
              <w:t>滁州市苏滁产业园常州南路611号</w:t>
            </w:r>
            <w:r>
              <w:rPr>
                <w:sz w:val="24"/>
              </w:rPr>
              <w:t>，</w:t>
            </w:r>
            <w:r>
              <w:rPr>
                <w:rFonts w:hint="eastAsia"/>
                <w:sz w:val="24"/>
              </w:rPr>
              <w:t>利用现有2#厂房。</w:t>
            </w:r>
          </w:p>
          <w:p>
            <w:pPr>
              <w:spacing w:line="360" w:lineRule="auto"/>
              <w:ind w:firstLine="482" w:firstLineChars="200"/>
              <w:rPr>
                <w:b/>
                <w:bCs/>
                <w:sz w:val="24"/>
              </w:rPr>
            </w:pPr>
            <w:r>
              <w:rPr>
                <w:rFonts w:hint="eastAsia"/>
                <w:b/>
                <w:sz w:val="24"/>
              </w:rPr>
              <w:t>一</w:t>
            </w:r>
            <w:r>
              <w:rPr>
                <w:b/>
                <w:sz w:val="24"/>
              </w:rPr>
              <w:t>、现有项目概况</w:t>
            </w:r>
          </w:p>
          <w:p>
            <w:pPr>
              <w:snapToGrid w:val="0"/>
              <w:spacing w:line="360" w:lineRule="auto"/>
              <w:ind w:firstLine="480" w:firstLineChars="200"/>
              <w:jc w:val="left"/>
              <w:rPr>
                <w:sz w:val="24"/>
              </w:rPr>
            </w:pPr>
            <w:r>
              <w:rPr>
                <w:rFonts w:hint="eastAsia"/>
                <w:sz w:val="24"/>
              </w:rPr>
              <w:t>2017 年 9 月，波力食品工业（滁州）有限公司取得了苏滁现代产业园建设房产环保局关于《波力食品工业（滁州）有限公司饼干生产、加工项目环境影响报告表》的批复文件（文号：苏滁建房环函[2017]49 号，详见附件）。目前该项目生产线建设完成，尚未投产，未办理环保竣工验收工作。因企业发展需求，增加海苔生产线，企业重新报批，2018年8月取得了苏滁现代产业园建设房产环保局关于《波力食品工业（滁州）有限公司水加工品（干制水产品）生产、加工项目环境影响报告表》的批复文件（文号：苏滁建房环函[2018]48号，详见附件），并于2019年11月对该项目进行阶段性验收。</w:t>
            </w:r>
          </w:p>
          <w:p>
            <w:pPr>
              <w:pStyle w:val="13"/>
              <w:ind w:left="0" w:leftChars="0" w:firstLine="0" w:firstLineChars="0"/>
              <w:jc w:val="center"/>
              <w:rPr>
                <w:b/>
                <w:sz w:val="24"/>
              </w:rPr>
            </w:pPr>
            <w:r>
              <w:rPr>
                <w:rFonts w:hint="eastAsia"/>
                <w:b/>
                <w:sz w:val="24"/>
              </w:rPr>
              <w:t>表2-8  现有项目环保手续情况一览表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242"/>
              <w:gridCol w:w="1850"/>
              <w:gridCol w:w="1533"/>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4" w:type="dxa"/>
                  <w:vAlign w:val="center"/>
                </w:tcPr>
                <w:p>
                  <w:pPr>
                    <w:jc w:val="center"/>
                    <w:rPr>
                      <w:b/>
                      <w:szCs w:val="21"/>
                    </w:rPr>
                  </w:pPr>
                  <w:r>
                    <w:rPr>
                      <w:rFonts w:hAnsi="宋体"/>
                      <w:b/>
                      <w:szCs w:val="21"/>
                    </w:rPr>
                    <w:t>序号</w:t>
                  </w:r>
                </w:p>
              </w:tc>
              <w:tc>
                <w:tcPr>
                  <w:tcW w:w="2242" w:type="dxa"/>
                  <w:vAlign w:val="center"/>
                </w:tcPr>
                <w:p>
                  <w:pPr>
                    <w:jc w:val="center"/>
                    <w:rPr>
                      <w:b/>
                      <w:szCs w:val="21"/>
                    </w:rPr>
                  </w:pPr>
                  <w:r>
                    <w:rPr>
                      <w:rFonts w:hAnsi="宋体"/>
                      <w:b/>
                      <w:szCs w:val="21"/>
                    </w:rPr>
                    <w:t>项目名称</w:t>
                  </w:r>
                </w:p>
              </w:tc>
              <w:tc>
                <w:tcPr>
                  <w:tcW w:w="1850" w:type="dxa"/>
                  <w:vAlign w:val="center"/>
                </w:tcPr>
                <w:p>
                  <w:pPr>
                    <w:jc w:val="center"/>
                    <w:rPr>
                      <w:b/>
                      <w:szCs w:val="21"/>
                    </w:rPr>
                  </w:pPr>
                  <w:r>
                    <w:rPr>
                      <w:rFonts w:hAnsi="宋体"/>
                      <w:b/>
                      <w:szCs w:val="21"/>
                    </w:rPr>
                    <w:t>环评审批</w:t>
                  </w:r>
                </w:p>
              </w:tc>
              <w:tc>
                <w:tcPr>
                  <w:tcW w:w="1533" w:type="dxa"/>
                  <w:vAlign w:val="center"/>
                </w:tcPr>
                <w:p>
                  <w:pPr>
                    <w:jc w:val="center"/>
                    <w:rPr>
                      <w:b/>
                      <w:szCs w:val="21"/>
                    </w:rPr>
                  </w:pPr>
                  <w:r>
                    <w:rPr>
                      <w:rFonts w:hAnsi="宋体"/>
                      <w:b/>
                      <w:szCs w:val="21"/>
                    </w:rPr>
                    <w:t>环保验收</w:t>
                  </w:r>
                </w:p>
              </w:tc>
              <w:tc>
                <w:tcPr>
                  <w:tcW w:w="1589" w:type="dxa"/>
                  <w:vAlign w:val="center"/>
                </w:tcPr>
                <w:p>
                  <w:pPr>
                    <w:jc w:val="center"/>
                    <w:rPr>
                      <w:b/>
                      <w:szCs w:val="21"/>
                    </w:rPr>
                  </w:pPr>
                  <w:r>
                    <w:rPr>
                      <w:rFonts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4" w:type="dxa"/>
                  <w:vAlign w:val="center"/>
                </w:tcPr>
                <w:p>
                  <w:pPr>
                    <w:jc w:val="center"/>
                    <w:rPr>
                      <w:szCs w:val="21"/>
                    </w:rPr>
                  </w:pPr>
                  <w:r>
                    <w:rPr>
                      <w:szCs w:val="21"/>
                    </w:rPr>
                    <w:t>1</w:t>
                  </w:r>
                </w:p>
              </w:tc>
              <w:tc>
                <w:tcPr>
                  <w:tcW w:w="2242" w:type="dxa"/>
                  <w:vAlign w:val="center"/>
                </w:tcPr>
                <w:p>
                  <w:pPr>
                    <w:jc w:val="center"/>
                    <w:rPr>
                      <w:szCs w:val="21"/>
                    </w:rPr>
                  </w:pPr>
                  <w:r>
                    <w:rPr>
                      <w:rFonts w:hint="eastAsia"/>
                      <w:szCs w:val="21"/>
                    </w:rPr>
                    <w:t>水加工品（干制水产品）生产、加工项目</w:t>
                  </w:r>
                </w:p>
              </w:tc>
              <w:tc>
                <w:tcPr>
                  <w:tcW w:w="1850" w:type="dxa"/>
                  <w:vAlign w:val="center"/>
                </w:tcPr>
                <w:p>
                  <w:pPr>
                    <w:jc w:val="center"/>
                    <w:rPr>
                      <w:szCs w:val="21"/>
                    </w:rPr>
                  </w:pPr>
                  <w:r>
                    <w:rPr>
                      <w:rFonts w:hint="eastAsia"/>
                      <w:szCs w:val="21"/>
                    </w:rPr>
                    <w:t>苏滁建房环函[2018]48号</w:t>
                  </w:r>
                </w:p>
              </w:tc>
              <w:tc>
                <w:tcPr>
                  <w:tcW w:w="1533" w:type="dxa"/>
                  <w:vAlign w:val="center"/>
                </w:tcPr>
                <w:p>
                  <w:pPr>
                    <w:jc w:val="center"/>
                    <w:rPr>
                      <w:szCs w:val="21"/>
                    </w:rPr>
                  </w:pPr>
                  <w:r>
                    <w:rPr>
                      <w:rFonts w:hint="eastAsia" w:hAnsi="宋体"/>
                      <w:szCs w:val="21"/>
                      <w:lang w:val="en-US" w:eastAsia="zh-CN"/>
                    </w:rPr>
                    <w:t>2019年12月通过</w:t>
                  </w:r>
                  <w:r>
                    <w:rPr>
                      <w:rFonts w:hAnsi="宋体"/>
                      <w:szCs w:val="21"/>
                    </w:rPr>
                    <w:t>自主验收</w:t>
                  </w:r>
                </w:p>
              </w:tc>
              <w:tc>
                <w:tcPr>
                  <w:tcW w:w="1589" w:type="dxa"/>
                  <w:vAlign w:val="center"/>
                </w:tcPr>
                <w:p>
                  <w:pPr>
                    <w:jc w:val="center"/>
                    <w:rPr>
                      <w:szCs w:val="21"/>
                    </w:rPr>
                  </w:pPr>
                  <w:r>
                    <w:rPr>
                      <w:rFonts w:hAnsi="宋体"/>
                      <w:szCs w:val="21"/>
                    </w:rPr>
                    <w:t>验收内容为</w:t>
                  </w:r>
                  <w:r>
                    <w:rPr>
                      <w:rFonts w:hint="eastAsia" w:hAnsi="宋体"/>
                      <w:szCs w:val="21"/>
                    </w:rPr>
                    <w:t>海苔</w:t>
                  </w:r>
                  <w:r>
                    <w:rPr>
                      <w:rFonts w:hAnsi="宋体"/>
                      <w:szCs w:val="21"/>
                    </w:rPr>
                    <w:t>生产</w:t>
                  </w:r>
                  <w:r>
                    <w:rPr>
                      <w:rFonts w:hint="eastAsia" w:hAnsi="宋体"/>
                      <w:szCs w:val="21"/>
                    </w:rPr>
                    <w:t>线</w:t>
                  </w:r>
                </w:p>
              </w:tc>
            </w:tr>
          </w:tbl>
          <w:p>
            <w:pPr>
              <w:spacing w:before="120" w:beforeLines="50" w:line="360" w:lineRule="auto"/>
              <w:ind w:firstLine="482" w:firstLineChars="200"/>
              <w:rPr>
                <w:b/>
                <w:sz w:val="24"/>
              </w:rPr>
            </w:pPr>
            <w:r>
              <w:rPr>
                <w:rFonts w:hint="eastAsia"/>
                <w:b/>
                <w:sz w:val="24"/>
              </w:rPr>
              <w:t>二</w:t>
            </w:r>
            <w:r>
              <w:rPr>
                <w:b/>
                <w:sz w:val="24"/>
              </w:rPr>
              <w:t>、现有项目</w:t>
            </w:r>
            <w:r>
              <w:rPr>
                <w:rFonts w:hint="eastAsia"/>
                <w:b/>
                <w:sz w:val="24"/>
              </w:rPr>
              <w:t>原辅材料消耗一览表</w:t>
            </w:r>
          </w:p>
          <w:p>
            <w:pPr>
              <w:pStyle w:val="13"/>
              <w:ind w:left="0" w:leftChars="0" w:firstLine="0" w:firstLineChars="0"/>
              <w:jc w:val="center"/>
              <w:rPr>
                <w:b/>
                <w:bCs/>
                <w:sz w:val="24"/>
              </w:rPr>
            </w:pPr>
            <w:r>
              <w:rPr>
                <w:rFonts w:hint="eastAsia"/>
                <w:b/>
                <w:bCs/>
                <w:sz w:val="24"/>
              </w:rPr>
              <w:t>表2-9  现有</w:t>
            </w:r>
            <w:r>
              <w:rPr>
                <w:rFonts w:hint="eastAsia"/>
                <w:b/>
                <w:sz w:val="24"/>
              </w:rPr>
              <w:t>原辅材料消耗一览表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216"/>
              <w:gridCol w:w="1175"/>
              <w:gridCol w:w="762"/>
              <w:gridCol w:w="963"/>
              <w:gridCol w:w="1350"/>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3" w:type="dxa"/>
                  <w:vAlign w:val="center"/>
                </w:tcPr>
                <w:p>
                  <w:pPr>
                    <w:jc w:val="center"/>
                    <w:rPr>
                      <w:szCs w:val="21"/>
                    </w:rPr>
                  </w:pPr>
                  <w:r>
                    <w:rPr>
                      <w:b/>
                      <w:bCs/>
                      <w:szCs w:val="21"/>
                    </w:rPr>
                    <w:t>序号</w:t>
                  </w:r>
                </w:p>
              </w:tc>
              <w:tc>
                <w:tcPr>
                  <w:tcW w:w="1216" w:type="dxa"/>
                  <w:vAlign w:val="center"/>
                </w:tcPr>
                <w:p>
                  <w:pPr>
                    <w:jc w:val="center"/>
                    <w:rPr>
                      <w:b/>
                      <w:bCs/>
                      <w:szCs w:val="21"/>
                    </w:rPr>
                  </w:pPr>
                  <w:r>
                    <w:rPr>
                      <w:b/>
                      <w:bCs/>
                      <w:szCs w:val="21"/>
                    </w:rPr>
                    <w:t>物料名称</w:t>
                  </w:r>
                </w:p>
              </w:tc>
              <w:tc>
                <w:tcPr>
                  <w:tcW w:w="1175" w:type="dxa"/>
                  <w:vAlign w:val="center"/>
                </w:tcPr>
                <w:p>
                  <w:pPr>
                    <w:jc w:val="center"/>
                    <w:rPr>
                      <w:b/>
                      <w:bCs/>
                      <w:szCs w:val="21"/>
                    </w:rPr>
                  </w:pPr>
                  <w:r>
                    <w:rPr>
                      <w:b/>
                      <w:bCs/>
                      <w:szCs w:val="21"/>
                    </w:rPr>
                    <w:t>规格型号</w:t>
                  </w:r>
                </w:p>
              </w:tc>
              <w:tc>
                <w:tcPr>
                  <w:tcW w:w="762" w:type="dxa"/>
                  <w:vAlign w:val="center"/>
                </w:tcPr>
                <w:p>
                  <w:pPr>
                    <w:jc w:val="center"/>
                    <w:rPr>
                      <w:b/>
                      <w:bCs/>
                      <w:szCs w:val="21"/>
                    </w:rPr>
                  </w:pPr>
                  <w:r>
                    <w:rPr>
                      <w:b/>
                      <w:bCs/>
                      <w:szCs w:val="21"/>
                    </w:rPr>
                    <w:t>单位</w:t>
                  </w:r>
                </w:p>
              </w:tc>
              <w:tc>
                <w:tcPr>
                  <w:tcW w:w="963" w:type="dxa"/>
                  <w:vAlign w:val="center"/>
                </w:tcPr>
                <w:p>
                  <w:pPr>
                    <w:jc w:val="center"/>
                    <w:rPr>
                      <w:b/>
                      <w:bCs/>
                      <w:szCs w:val="21"/>
                    </w:rPr>
                  </w:pPr>
                  <w:r>
                    <w:rPr>
                      <w:b/>
                      <w:bCs/>
                      <w:szCs w:val="21"/>
                    </w:rPr>
                    <w:t>年耗量</w:t>
                  </w:r>
                </w:p>
              </w:tc>
              <w:tc>
                <w:tcPr>
                  <w:tcW w:w="1350" w:type="dxa"/>
                  <w:vAlign w:val="center"/>
                </w:tcPr>
                <w:p>
                  <w:pPr>
                    <w:jc w:val="center"/>
                    <w:rPr>
                      <w:b/>
                      <w:bCs/>
                      <w:szCs w:val="21"/>
                    </w:rPr>
                  </w:pPr>
                  <w:r>
                    <w:rPr>
                      <w:b/>
                      <w:bCs/>
                      <w:szCs w:val="21"/>
                    </w:rPr>
                    <w:t>最大存储量</w:t>
                  </w:r>
                </w:p>
              </w:tc>
              <w:tc>
                <w:tcPr>
                  <w:tcW w:w="1749" w:type="dxa"/>
                  <w:vAlign w:val="center"/>
                </w:tcPr>
                <w:p>
                  <w:pPr>
                    <w:jc w:val="center"/>
                    <w:rPr>
                      <w:b/>
                      <w:bCs/>
                      <w:szCs w:val="21"/>
                    </w:rPr>
                  </w:pPr>
                  <w:r>
                    <w:rPr>
                      <w:b/>
                      <w:bCs/>
                      <w:szCs w:val="21"/>
                    </w:rPr>
                    <w:t>来源及运输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vAlign w:val="center"/>
                </w:tcPr>
                <w:p>
                  <w:pPr>
                    <w:jc w:val="center"/>
                    <w:rPr>
                      <w:szCs w:val="21"/>
                    </w:rPr>
                  </w:pPr>
                  <w:r>
                    <w:rPr>
                      <w:szCs w:val="21"/>
                    </w:rPr>
                    <w:t>1</w:t>
                  </w:r>
                </w:p>
              </w:tc>
              <w:tc>
                <w:tcPr>
                  <w:tcW w:w="1216" w:type="dxa"/>
                  <w:vAlign w:val="center"/>
                </w:tcPr>
                <w:p>
                  <w:pPr>
                    <w:jc w:val="center"/>
                    <w:rPr>
                      <w:szCs w:val="21"/>
                    </w:rPr>
                  </w:pPr>
                  <w:r>
                    <w:rPr>
                      <w:rFonts w:hint="eastAsia"/>
                      <w:szCs w:val="21"/>
                    </w:rPr>
                    <w:t>紫菜</w:t>
                  </w:r>
                </w:p>
              </w:tc>
              <w:tc>
                <w:tcPr>
                  <w:tcW w:w="1175" w:type="dxa"/>
                  <w:vAlign w:val="center"/>
                </w:tcPr>
                <w:p>
                  <w:pPr>
                    <w:jc w:val="center"/>
                    <w:rPr>
                      <w:szCs w:val="21"/>
                    </w:rPr>
                  </w:pPr>
                  <w:r>
                    <w:rPr>
                      <w:szCs w:val="21"/>
                    </w:rPr>
                    <w:t>/</w:t>
                  </w:r>
                </w:p>
              </w:tc>
              <w:tc>
                <w:tcPr>
                  <w:tcW w:w="762" w:type="dxa"/>
                  <w:vAlign w:val="center"/>
                </w:tcPr>
                <w:p>
                  <w:pPr>
                    <w:jc w:val="center"/>
                    <w:rPr>
                      <w:szCs w:val="21"/>
                    </w:rPr>
                  </w:pPr>
                  <w:r>
                    <w:rPr>
                      <w:szCs w:val="21"/>
                    </w:rPr>
                    <w:t>吨</w:t>
                  </w:r>
                </w:p>
              </w:tc>
              <w:tc>
                <w:tcPr>
                  <w:tcW w:w="963" w:type="dxa"/>
                  <w:vAlign w:val="center"/>
                </w:tcPr>
                <w:p>
                  <w:pPr>
                    <w:jc w:val="center"/>
                    <w:rPr>
                      <w:szCs w:val="21"/>
                    </w:rPr>
                  </w:pPr>
                  <w:r>
                    <w:rPr>
                      <w:rFonts w:hint="eastAsia"/>
                      <w:szCs w:val="21"/>
                    </w:rPr>
                    <w:t>913</w:t>
                  </w:r>
                </w:p>
              </w:tc>
              <w:tc>
                <w:tcPr>
                  <w:tcW w:w="1350" w:type="dxa"/>
                  <w:vAlign w:val="center"/>
                </w:tcPr>
                <w:p>
                  <w:pPr>
                    <w:jc w:val="center"/>
                    <w:rPr>
                      <w:szCs w:val="21"/>
                    </w:rPr>
                  </w:pPr>
                  <w:r>
                    <w:rPr>
                      <w:rFonts w:hint="eastAsia"/>
                      <w:szCs w:val="21"/>
                    </w:rPr>
                    <w:t>50</w:t>
                  </w:r>
                </w:p>
              </w:tc>
              <w:tc>
                <w:tcPr>
                  <w:tcW w:w="1749" w:type="dxa"/>
                  <w:vAlign w:val="center"/>
                </w:tcPr>
                <w:p>
                  <w:pPr>
                    <w:jc w:val="center"/>
                    <w:rPr>
                      <w:szCs w:val="21"/>
                    </w:rPr>
                  </w:pPr>
                  <w:r>
                    <w:rPr>
                      <w:rFonts w:hint="eastAsia"/>
                      <w:szCs w:val="21"/>
                    </w:rPr>
                    <w:t>国内汽运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vAlign w:val="center"/>
                </w:tcPr>
                <w:p>
                  <w:pPr>
                    <w:jc w:val="center"/>
                    <w:rPr>
                      <w:szCs w:val="21"/>
                    </w:rPr>
                  </w:pPr>
                  <w:r>
                    <w:rPr>
                      <w:szCs w:val="21"/>
                    </w:rPr>
                    <w:t>2</w:t>
                  </w:r>
                </w:p>
              </w:tc>
              <w:tc>
                <w:tcPr>
                  <w:tcW w:w="1216" w:type="dxa"/>
                  <w:vAlign w:val="center"/>
                </w:tcPr>
                <w:p>
                  <w:pPr>
                    <w:jc w:val="center"/>
                    <w:rPr>
                      <w:szCs w:val="21"/>
                    </w:rPr>
                  </w:pPr>
                  <w:r>
                    <w:rPr>
                      <w:rFonts w:hint="eastAsia"/>
                      <w:szCs w:val="21"/>
                    </w:rPr>
                    <w:t>香菇</w:t>
                  </w:r>
                </w:p>
              </w:tc>
              <w:tc>
                <w:tcPr>
                  <w:tcW w:w="1175" w:type="dxa"/>
                  <w:vAlign w:val="center"/>
                </w:tcPr>
                <w:p>
                  <w:pPr>
                    <w:jc w:val="center"/>
                    <w:rPr>
                      <w:szCs w:val="21"/>
                    </w:rPr>
                  </w:pPr>
                  <w:r>
                    <w:rPr>
                      <w:szCs w:val="21"/>
                    </w:rPr>
                    <w:t>/</w:t>
                  </w:r>
                </w:p>
              </w:tc>
              <w:tc>
                <w:tcPr>
                  <w:tcW w:w="762" w:type="dxa"/>
                  <w:vAlign w:val="center"/>
                </w:tcPr>
                <w:p>
                  <w:pPr>
                    <w:jc w:val="center"/>
                    <w:rPr>
                      <w:szCs w:val="21"/>
                    </w:rPr>
                  </w:pPr>
                  <w:r>
                    <w:rPr>
                      <w:szCs w:val="21"/>
                    </w:rPr>
                    <w:t>吨</w:t>
                  </w:r>
                </w:p>
              </w:tc>
              <w:tc>
                <w:tcPr>
                  <w:tcW w:w="963" w:type="dxa"/>
                  <w:vAlign w:val="center"/>
                </w:tcPr>
                <w:p>
                  <w:pPr>
                    <w:jc w:val="center"/>
                    <w:rPr>
                      <w:szCs w:val="21"/>
                    </w:rPr>
                  </w:pPr>
                  <w:r>
                    <w:rPr>
                      <w:rFonts w:hint="eastAsia"/>
                      <w:szCs w:val="21"/>
                    </w:rPr>
                    <w:t>22</w:t>
                  </w:r>
                </w:p>
              </w:tc>
              <w:tc>
                <w:tcPr>
                  <w:tcW w:w="1350" w:type="dxa"/>
                  <w:vAlign w:val="center"/>
                </w:tcPr>
                <w:p>
                  <w:pPr>
                    <w:jc w:val="center"/>
                    <w:rPr>
                      <w:szCs w:val="21"/>
                    </w:rPr>
                  </w:pPr>
                  <w:r>
                    <w:rPr>
                      <w:rFonts w:hint="eastAsia"/>
                      <w:szCs w:val="21"/>
                    </w:rPr>
                    <w:t>5</w:t>
                  </w:r>
                </w:p>
              </w:tc>
              <w:tc>
                <w:tcPr>
                  <w:tcW w:w="1749" w:type="dxa"/>
                  <w:vAlign w:val="center"/>
                </w:tcPr>
                <w:p>
                  <w:pPr>
                    <w:jc w:val="center"/>
                    <w:rPr>
                      <w:szCs w:val="21"/>
                    </w:rPr>
                  </w:pPr>
                  <w:r>
                    <w:rPr>
                      <w:rFonts w:hint="eastAsia"/>
                      <w:szCs w:val="21"/>
                    </w:rPr>
                    <w:t>国内汽运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vAlign w:val="center"/>
                </w:tcPr>
                <w:p>
                  <w:pPr>
                    <w:jc w:val="center"/>
                    <w:rPr>
                      <w:szCs w:val="21"/>
                    </w:rPr>
                  </w:pPr>
                  <w:r>
                    <w:rPr>
                      <w:szCs w:val="21"/>
                    </w:rPr>
                    <w:t>3</w:t>
                  </w:r>
                </w:p>
              </w:tc>
              <w:tc>
                <w:tcPr>
                  <w:tcW w:w="1216" w:type="dxa"/>
                  <w:vAlign w:val="center"/>
                </w:tcPr>
                <w:p>
                  <w:pPr>
                    <w:jc w:val="center"/>
                    <w:rPr>
                      <w:szCs w:val="21"/>
                    </w:rPr>
                  </w:pPr>
                  <w:r>
                    <w:rPr>
                      <w:rFonts w:hint="eastAsia"/>
                      <w:szCs w:val="21"/>
                    </w:rPr>
                    <w:t>白砂糖</w:t>
                  </w:r>
                </w:p>
              </w:tc>
              <w:tc>
                <w:tcPr>
                  <w:tcW w:w="1175" w:type="dxa"/>
                  <w:vAlign w:val="center"/>
                </w:tcPr>
                <w:p>
                  <w:pPr>
                    <w:jc w:val="center"/>
                    <w:rPr>
                      <w:szCs w:val="21"/>
                    </w:rPr>
                  </w:pPr>
                  <w:r>
                    <w:rPr>
                      <w:szCs w:val="21"/>
                    </w:rPr>
                    <w:t>/</w:t>
                  </w:r>
                </w:p>
              </w:tc>
              <w:tc>
                <w:tcPr>
                  <w:tcW w:w="762" w:type="dxa"/>
                  <w:vAlign w:val="center"/>
                </w:tcPr>
                <w:p>
                  <w:pPr>
                    <w:jc w:val="center"/>
                    <w:rPr>
                      <w:szCs w:val="21"/>
                    </w:rPr>
                  </w:pPr>
                  <w:r>
                    <w:rPr>
                      <w:szCs w:val="21"/>
                    </w:rPr>
                    <w:t>吨</w:t>
                  </w:r>
                </w:p>
              </w:tc>
              <w:tc>
                <w:tcPr>
                  <w:tcW w:w="963" w:type="dxa"/>
                  <w:vAlign w:val="center"/>
                </w:tcPr>
                <w:p>
                  <w:pPr>
                    <w:jc w:val="center"/>
                    <w:rPr>
                      <w:szCs w:val="21"/>
                    </w:rPr>
                  </w:pPr>
                  <w:r>
                    <w:rPr>
                      <w:rFonts w:hint="eastAsia"/>
                      <w:szCs w:val="21"/>
                    </w:rPr>
                    <w:t>43</w:t>
                  </w:r>
                </w:p>
              </w:tc>
              <w:tc>
                <w:tcPr>
                  <w:tcW w:w="1350" w:type="dxa"/>
                  <w:vAlign w:val="center"/>
                </w:tcPr>
                <w:p>
                  <w:pPr>
                    <w:jc w:val="center"/>
                    <w:rPr>
                      <w:szCs w:val="21"/>
                    </w:rPr>
                  </w:pPr>
                  <w:r>
                    <w:rPr>
                      <w:rFonts w:hint="eastAsia"/>
                      <w:szCs w:val="21"/>
                    </w:rPr>
                    <w:t>5</w:t>
                  </w:r>
                </w:p>
              </w:tc>
              <w:tc>
                <w:tcPr>
                  <w:tcW w:w="1749" w:type="dxa"/>
                  <w:vAlign w:val="center"/>
                </w:tcPr>
                <w:p>
                  <w:pPr>
                    <w:jc w:val="center"/>
                    <w:rPr>
                      <w:szCs w:val="21"/>
                    </w:rPr>
                  </w:pPr>
                  <w:r>
                    <w:rPr>
                      <w:rFonts w:hint="eastAsia"/>
                      <w:szCs w:val="21"/>
                    </w:rPr>
                    <w:t>国内汽运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vAlign w:val="center"/>
                </w:tcPr>
                <w:p>
                  <w:pPr>
                    <w:jc w:val="center"/>
                    <w:rPr>
                      <w:szCs w:val="21"/>
                    </w:rPr>
                  </w:pPr>
                  <w:r>
                    <w:rPr>
                      <w:szCs w:val="21"/>
                    </w:rPr>
                    <w:t>4</w:t>
                  </w:r>
                </w:p>
              </w:tc>
              <w:tc>
                <w:tcPr>
                  <w:tcW w:w="1216" w:type="dxa"/>
                  <w:vAlign w:val="center"/>
                </w:tcPr>
                <w:p>
                  <w:pPr>
                    <w:jc w:val="center"/>
                    <w:rPr>
                      <w:szCs w:val="21"/>
                    </w:rPr>
                  </w:pPr>
                  <w:r>
                    <w:rPr>
                      <w:rFonts w:hint="eastAsia"/>
                      <w:szCs w:val="21"/>
                    </w:rPr>
                    <w:t>食用盐</w:t>
                  </w:r>
                </w:p>
              </w:tc>
              <w:tc>
                <w:tcPr>
                  <w:tcW w:w="1175" w:type="dxa"/>
                  <w:vAlign w:val="center"/>
                </w:tcPr>
                <w:p>
                  <w:pPr>
                    <w:jc w:val="center"/>
                    <w:rPr>
                      <w:szCs w:val="21"/>
                    </w:rPr>
                  </w:pPr>
                  <w:r>
                    <w:rPr>
                      <w:szCs w:val="21"/>
                    </w:rPr>
                    <w:t>/</w:t>
                  </w:r>
                </w:p>
              </w:tc>
              <w:tc>
                <w:tcPr>
                  <w:tcW w:w="762" w:type="dxa"/>
                  <w:vAlign w:val="center"/>
                </w:tcPr>
                <w:p>
                  <w:pPr>
                    <w:jc w:val="center"/>
                    <w:rPr>
                      <w:szCs w:val="21"/>
                    </w:rPr>
                  </w:pPr>
                  <w:r>
                    <w:rPr>
                      <w:szCs w:val="21"/>
                    </w:rPr>
                    <w:t>吨</w:t>
                  </w:r>
                </w:p>
              </w:tc>
              <w:tc>
                <w:tcPr>
                  <w:tcW w:w="963" w:type="dxa"/>
                  <w:vAlign w:val="center"/>
                </w:tcPr>
                <w:p>
                  <w:pPr>
                    <w:jc w:val="center"/>
                    <w:rPr>
                      <w:szCs w:val="21"/>
                    </w:rPr>
                  </w:pPr>
                  <w:r>
                    <w:rPr>
                      <w:rFonts w:hint="eastAsia"/>
                      <w:szCs w:val="21"/>
                    </w:rPr>
                    <w:t>3</w:t>
                  </w:r>
                </w:p>
              </w:tc>
              <w:tc>
                <w:tcPr>
                  <w:tcW w:w="1350" w:type="dxa"/>
                  <w:vAlign w:val="center"/>
                </w:tcPr>
                <w:p>
                  <w:pPr>
                    <w:jc w:val="center"/>
                    <w:rPr>
                      <w:szCs w:val="21"/>
                    </w:rPr>
                  </w:pPr>
                  <w:r>
                    <w:rPr>
                      <w:rFonts w:hint="eastAsia"/>
                      <w:szCs w:val="21"/>
                    </w:rPr>
                    <w:t>0.5</w:t>
                  </w:r>
                </w:p>
              </w:tc>
              <w:tc>
                <w:tcPr>
                  <w:tcW w:w="1749" w:type="dxa"/>
                  <w:vAlign w:val="center"/>
                </w:tcPr>
                <w:p>
                  <w:pPr>
                    <w:jc w:val="center"/>
                    <w:rPr>
                      <w:szCs w:val="21"/>
                    </w:rPr>
                  </w:pPr>
                  <w:r>
                    <w:rPr>
                      <w:rFonts w:hint="eastAsia"/>
                      <w:szCs w:val="21"/>
                    </w:rPr>
                    <w:t>国内汽运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vAlign w:val="center"/>
                </w:tcPr>
                <w:p>
                  <w:pPr>
                    <w:jc w:val="center"/>
                    <w:rPr>
                      <w:szCs w:val="21"/>
                    </w:rPr>
                  </w:pPr>
                  <w:r>
                    <w:rPr>
                      <w:szCs w:val="21"/>
                    </w:rPr>
                    <w:t>5</w:t>
                  </w:r>
                </w:p>
              </w:tc>
              <w:tc>
                <w:tcPr>
                  <w:tcW w:w="1216" w:type="dxa"/>
                  <w:vAlign w:val="center"/>
                </w:tcPr>
                <w:p>
                  <w:pPr>
                    <w:jc w:val="center"/>
                    <w:rPr>
                      <w:szCs w:val="21"/>
                    </w:rPr>
                  </w:pPr>
                  <w:r>
                    <w:rPr>
                      <w:rFonts w:hint="eastAsia"/>
                      <w:szCs w:val="21"/>
                    </w:rPr>
                    <w:t>生姜</w:t>
                  </w:r>
                </w:p>
              </w:tc>
              <w:tc>
                <w:tcPr>
                  <w:tcW w:w="1175" w:type="dxa"/>
                  <w:vAlign w:val="center"/>
                </w:tcPr>
                <w:p>
                  <w:pPr>
                    <w:jc w:val="center"/>
                    <w:rPr>
                      <w:szCs w:val="21"/>
                    </w:rPr>
                  </w:pPr>
                  <w:r>
                    <w:rPr>
                      <w:rFonts w:hint="eastAsia"/>
                      <w:szCs w:val="21"/>
                    </w:rPr>
                    <w:t>/</w:t>
                  </w:r>
                </w:p>
              </w:tc>
              <w:tc>
                <w:tcPr>
                  <w:tcW w:w="762" w:type="dxa"/>
                  <w:vAlign w:val="center"/>
                </w:tcPr>
                <w:p>
                  <w:pPr>
                    <w:jc w:val="center"/>
                    <w:rPr>
                      <w:szCs w:val="21"/>
                    </w:rPr>
                  </w:pPr>
                  <w:r>
                    <w:rPr>
                      <w:szCs w:val="21"/>
                    </w:rPr>
                    <w:t>吨</w:t>
                  </w:r>
                </w:p>
              </w:tc>
              <w:tc>
                <w:tcPr>
                  <w:tcW w:w="963" w:type="dxa"/>
                  <w:vAlign w:val="center"/>
                </w:tcPr>
                <w:p>
                  <w:pPr>
                    <w:jc w:val="center"/>
                    <w:rPr>
                      <w:szCs w:val="21"/>
                    </w:rPr>
                  </w:pPr>
                  <w:r>
                    <w:rPr>
                      <w:rFonts w:hint="eastAsia"/>
                      <w:szCs w:val="21"/>
                    </w:rPr>
                    <w:t>21</w:t>
                  </w:r>
                </w:p>
              </w:tc>
              <w:tc>
                <w:tcPr>
                  <w:tcW w:w="1350" w:type="dxa"/>
                  <w:vAlign w:val="center"/>
                </w:tcPr>
                <w:p>
                  <w:pPr>
                    <w:jc w:val="center"/>
                    <w:rPr>
                      <w:szCs w:val="21"/>
                    </w:rPr>
                  </w:pPr>
                  <w:r>
                    <w:rPr>
                      <w:rFonts w:hint="eastAsia"/>
                      <w:szCs w:val="21"/>
                    </w:rPr>
                    <w:t>5</w:t>
                  </w:r>
                </w:p>
              </w:tc>
              <w:tc>
                <w:tcPr>
                  <w:tcW w:w="1749" w:type="dxa"/>
                  <w:vAlign w:val="center"/>
                </w:tcPr>
                <w:p>
                  <w:pPr>
                    <w:jc w:val="center"/>
                    <w:rPr>
                      <w:szCs w:val="21"/>
                    </w:rPr>
                  </w:pPr>
                  <w:r>
                    <w:rPr>
                      <w:rFonts w:hint="eastAsia"/>
                      <w:szCs w:val="21"/>
                    </w:rPr>
                    <w:t>国内汽运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vAlign w:val="center"/>
                </w:tcPr>
                <w:p>
                  <w:pPr>
                    <w:jc w:val="center"/>
                    <w:rPr>
                      <w:szCs w:val="21"/>
                    </w:rPr>
                  </w:pPr>
                  <w:r>
                    <w:rPr>
                      <w:szCs w:val="21"/>
                    </w:rPr>
                    <w:t>6</w:t>
                  </w:r>
                </w:p>
              </w:tc>
              <w:tc>
                <w:tcPr>
                  <w:tcW w:w="1216" w:type="dxa"/>
                  <w:vAlign w:val="center"/>
                </w:tcPr>
                <w:p>
                  <w:pPr>
                    <w:jc w:val="center"/>
                    <w:rPr>
                      <w:szCs w:val="21"/>
                    </w:rPr>
                  </w:pPr>
                  <w:r>
                    <w:rPr>
                      <w:rFonts w:hint="eastAsia"/>
                      <w:szCs w:val="21"/>
                    </w:rPr>
                    <w:t>水</w:t>
                  </w:r>
                </w:p>
              </w:tc>
              <w:tc>
                <w:tcPr>
                  <w:tcW w:w="1175" w:type="dxa"/>
                  <w:vAlign w:val="center"/>
                </w:tcPr>
                <w:p>
                  <w:pPr>
                    <w:jc w:val="center"/>
                    <w:rPr>
                      <w:szCs w:val="21"/>
                    </w:rPr>
                  </w:pPr>
                  <w:r>
                    <w:rPr>
                      <w:szCs w:val="21"/>
                    </w:rPr>
                    <w:t>/</w:t>
                  </w:r>
                </w:p>
              </w:tc>
              <w:tc>
                <w:tcPr>
                  <w:tcW w:w="762" w:type="dxa"/>
                  <w:vAlign w:val="center"/>
                </w:tcPr>
                <w:p>
                  <w:pPr>
                    <w:jc w:val="center"/>
                    <w:rPr>
                      <w:szCs w:val="21"/>
                    </w:rPr>
                  </w:pPr>
                  <w:r>
                    <w:rPr>
                      <w:szCs w:val="21"/>
                    </w:rPr>
                    <w:t>吨</w:t>
                  </w:r>
                </w:p>
              </w:tc>
              <w:tc>
                <w:tcPr>
                  <w:tcW w:w="963" w:type="dxa"/>
                  <w:vAlign w:val="center"/>
                </w:tcPr>
                <w:p>
                  <w:pPr>
                    <w:jc w:val="center"/>
                    <w:rPr>
                      <w:szCs w:val="21"/>
                    </w:rPr>
                  </w:pPr>
                  <w:r>
                    <w:rPr>
                      <w:rFonts w:hint="eastAsia"/>
                      <w:szCs w:val="21"/>
                    </w:rPr>
                    <w:t>6080</w:t>
                  </w:r>
                </w:p>
              </w:tc>
              <w:tc>
                <w:tcPr>
                  <w:tcW w:w="1350" w:type="dxa"/>
                  <w:vAlign w:val="center"/>
                </w:tcPr>
                <w:p>
                  <w:pPr>
                    <w:jc w:val="center"/>
                    <w:rPr>
                      <w:szCs w:val="21"/>
                    </w:rPr>
                  </w:pPr>
                  <w:r>
                    <w:rPr>
                      <w:rFonts w:hint="eastAsia"/>
                      <w:szCs w:val="21"/>
                    </w:rPr>
                    <w:t>/</w:t>
                  </w:r>
                </w:p>
              </w:tc>
              <w:tc>
                <w:tcPr>
                  <w:tcW w:w="1749" w:type="dxa"/>
                  <w:vAlign w:val="center"/>
                </w:tcPr>
                <w:p>
                  <w:pPr>
                    <w:jc w:val="center"/>
                    <w:rPr>
                      <w:szCs w:val="21"/>
                    </w:rPr>
                  </w:pPr>
                  <w:r>
                    <w:rPr>
                      <w:rFonts w:hint="eastAsia"/>
                      <w:szCs w:val="21"/>
                    </w:rPr>
                    <w:t>国内汽运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vAlign w:val="center"/>
                </w:tcPr>
                <w:p>
                  <w:pPr>
                    <w:jc w:val="center"/>
                    <w:rPr>
                      <w:szCs w:val="21"/>
                    </w:rPr>
                  </w:pPr>
                  <w:r>
                    <w:rPr>
                      <w:szCs w:val="21"/>
                    </w:rPr>
                    <w:t>7</w:t>
                  </w:r>
                </w:p>
              </w:tc>
              <w:tc>
                <w:tcPr>
                  <w:tcW w:w="1216" w:type="dxa"/>
                  <w:vAlign w:val="center"/>
                </w:tcPr>
                <w:p>
                  <w:pPr>
                    <w:jc w:val="center"/>
                    <w:rPr>
                      <w:szCs w:val="21"/>
                    </w:rPr>
                  </w:pPr>
                  <w:r>
                    <w:rPr>
                      <w:rFonts w:hint="eastAsia"/>
                      <w:szCs w:val="21"/>
                    </w:rPr>
                    <w:t>包装材料</w:t>
                  </w:r>
                </w:p>
              </w:tc>
              <w:tc>
                <w:tcPr>
                  <w:tcW w:w="1175" w:type="dxa"/>
                  <w:vAlign w:val="center"/>
                </w:tcPr>
                <w:p>
                  <w:pPr>
                    <w:jc w:val="center"/>
                    <w:rPr>
                      <w:szCs w:val="21"/>
                    </w:rPr>
                  </w:pPr>
                  <w:r>
                    <w:rPr>
                      <w:szCs w:val="21"/>
                    </w:rPr>
                    <w:t>/</w:t>
                  </w:r>
                </w:p>
              </w:tc>
              <w:tc>
                <w:tcPr>
                  <w:tcW w:w="762" w:type="dxa"/>
                  <w:vAlign w:val="center"/>
                </w:tcPr>
                <w:p>
                  <w:pPr>
                    <w:jc w:val="center"/>
                    <w:rPr>
                      <w:szCs w:val="21"/>
                    </w:rPr>
                  </w:pPr>
                  <w:r>
                    <w:rPr>
                      <w:szCs w:val="21"/>
                    </w:rPr>
                    <w:t>吨</w:t>
                  </w:r>
                </w:p>
              </w:tc>
              <w:tc>
                <w:tcPr>
                  <w:tcW w:w="963" w:type="dxa"/>
                  <w:vAlign w:val="center"/>
                </w:tcPr>
                <w:p>
                  <w:pPr>
                    <w:jc w:val="center"/>
                    <w:rPr>
                      <w:szCs w:val="21"/>
                    </w:rPr>
                  </w:pPr>
                  <w:r>
                    <w:rPr>
                      <w:rFonts w:hint="eastAsia"/>
                      <w:szCs w:val="21"/>
                    </w:rPr>
                    <w:t>3</w:t>
                  </w:r>
                </w:p>
              </w:tc>
              <w:tc>
                <w:tcPr>
                  <w:tcW w:w="1350" w:type="dxa"/>
                  <w:vAlign w:val="center"/>
                </w:tcPr>
                <w:p>
                  <w:pPr>
                    <w:jc w:val="center"/>
                    <w:rPr>
                      <w:szCs w:val="21"/>
                    </w:rPr>
                  </w:pPr>
                  <w:r>
                    <w:rPr>
                      <w:rFonts w:hint="eastAsia"/>
                      <w:szCs w:val="21"/>
                    </w:rPr>
                    <w:t>0.5</w:t>
                  </w:r>
                </w:p>
              </w:tc>
              <w:tc>
                <w:tcPr>
                  <w:tcW w:w="1749" w:type="dxa"/>
                  <w:vAlign w:val="center"/>
                </w:tcPr>
                <w:p>
                  <w:pPr>
                    <w:jc w:val="center"/>
                    <w:rPr>
                      <w:szCs w:val="21"/>
                    </w:rPr>
                  </w:pPr>
                  <w:r>
                    <w:rPr>
                      <w:rFonts w:hint="eastAsia"/>
                      <w:szCs w:val="21"/>
                    </w:rPr>
                    <w:t>国内汽运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3" w:type="dxa"/>
                  <w:vAlign w:val="center"/>
                </w:tcPr>
                <w:p>
                  <w:pPr>
                    <w:jc w:val="center"/>
                    <w:rPr>
                      <w:szCs w:val="21"/>
                    </w:rPr>
                  </w:pPr>
                  <w:r>
                    <w:rPr>
                      <w:rFonts w:hint="eastAsia"/>
                      <w:szCs w:val="21"/>
                    </w:rPr>
                    <w:t>8</w:t>
                  </w:r>
                </w:p>
              </w:tc>
              <w:tc>
                <w:tcPr>
                  <w:tcW w:w="1216" w:type="dxa"/>
                  <w:vAlign w:val="center"/>
                </w:tcPr>
                <w:p>
                  <w:pPr>
                    <w:jc w:val="center"/>
                    <w:rPr>
                      <w:szCs w:val="21"/>
                    </w:rPr>
                  </w:pPr>
                  <w:r>
                    <w:rPr>
                      <w:rFonts w:hint="eastAsia"/>
                      <w:szCs w:val="21"/>
                    </w:rPr>
                    <w:t>天然气</w:t>
                  </w:r>
                </w:p>
              </w:tc>
              <w:tc>
                <w:tcPr>
                  <w:tcW w:w="1175" w:type="dxa"/>
                  <w:vAlign w:val="center"/>
                </w:tcPr>
                <w:p>
                  <w:pPr>
                    <w:jc w:val="center"/>
                    <w:rPr>
                      <w:szCs w:val="21"/>
                    </w:rPr>
                  </w:pPr>
                  <w:r>
                    <w:rPr>
                      <w:rFonts w:hint="eastAsia"/>
                      <w:szCs w:val="21"/>
                    </w:rPr>
                    <w:t>/</w:t>
                  </w:r>
                </w:p>
              </w:tc>
              <w:tc>
                <w:tcPr>
                  <w:tcW w:w="3075" w:type="dxa"/>
                  <w:gridSpan w:val="3"/>
                  <w:vAlign w:val="center"/>
                </w:tcPr>
                <w:p>
                  <w:pPr>
                    <w:jc w:val="center"/>
                    <w:rPr>
                      <w:szCs w:val="21"/>
                    </w:rPr>
                  </w:pPr>
                  <w:r>
                    <w:rPr>
                      <w:rFonts w:hint="eastAsia"/>
                      <w:szCs w:val="21"/>
                    </w:rPr>
                    <w:t>89600m</w:t>
                  </w:r>
                  <w:r>
                    <w:rPr>
                      <w:rFonts w:hint="eastAsia"/>
                      <w:szCs w:val="21"/>
                      <w:vertAlign w:val="superscript"/>
                    </w:rPr>
                    <w:t>3</w:t>
                  </w:r>
                  <w:r>
                    <w:rPr>
                      <w:rFonts w:hint="eastAsia"/>
                      <w:szCs w:val="21"/>
                    </w:rPr>
                    <w:t>/a</w:t>
                  </w:r>
                </w:p>
              </w:tc>
              <w:tc>
                <w:tcPr>
                  <w:tcW w:w="1749" w:type="dxa"/>
                  <w:vAlign w:val="center"/>
                </w:tcPr>
                <w:p>
                  <w:pPr>
                    <w:jc w:val="center"/>
                    <w:rPr>
                      <w:szCs w:val="21"/>
                    </w:rPr>
                  </w:pPr>
                  <w:r>
                    <w:rPr>
                      <w:rFonts w:hint="eastAsia"/>
                      <w:szCs w:val="21"/>
                    </w:rPr>
                    <w:t>园区天然气管网</w:t>
                  </w:r>
                </w:p>
              </w:tc>
            </w:tr>
          </w:tbl>
          <w:p>
            <w:pPr>
              <w:spacing w:before="120" w:beforeLines="50" w:line="360" w:lineRule="auto"/>
              <w:ind w:firstLine="482" w:firstLineChars="200"/>
              <w:rPr>
                <w:rFonts w:hint="eastAsia"/>
                <w:b/>
                <w:sz w:val="24"/>
              </w:rPr>
            </w:pPr>
          </w:p>
          <w:p>
            <w:pPr>
              <w:spacing w:before="120" w:beforeLines="50" w:line="360" w:lineRule="auto"/>
              <w:ind w:firstLine="482" w:firstLineChars="200"/>
              <w:rPr>
                <w:rFonts w:hint="eastAsia"/>
                <w:b/>
                <w:sz w:val="24"/>
              </w:rPr>
            </w:pPr>
          </w:p>
          <w:p>
            <w:pPr>
              <w:spacing w:before="120" w:beforeLines="50" w:line="360" w:lineRule="auto"/>
              <w:ind w:firstLine="482" w:firstLineChars="200"/>
              <w:rPr>
                <w:rFonts w:hint="eastAsia"/>
                <w:b/>
                <w:sz w:val="24"/>
              </w:rPr>
            </w:pPr>
          </w:p>
          <w:p>
            <w:pPr>
              <w:spacing w:before="120" w:beforeLines="50" w:line="360" w:lineRule="auto"/>
              <w:ind w:firstLine="482" w:firstLineChars="200"/>
              <w:rPr>
                <w:b/>
                <w:sz w:val="24"/>
              </w:rPr>
            </w:pPr>
            <w:r>
              <w:rPr>
                <w:rFonts w:hint="eastAsia"/>
                <w:b/>
                <w:sz w:val="24"/>
              </w:rPr>
              <w:t>三</w:t>
            </w:r>
            <w:r>
              <w:rPr>
                <w:b/>
                <w:sz w:val="24"/>
              </w:rPr>
              <w:t>、现有项目</w:t>
            </w:r>
            <w:r>
              <w:rPr>
                <w:rFonts w:hint="eastAsia"/>
                <w:b/>
                <w:sz w:val="24"/>
              </w:rPr>
              <w:t>饼干</w:t>
            </w:r>
            <w:r>
              <w:rPr>
                <w:b/>
                <w:sz w:val="24"/>
              </w:rPr>
              <w:t>生产工艺流程及简述</w:t>
            </w:r>
          </w:p>
          <w:p>
            <w:pPr>
              <w:spacing w:line="360" w:lineRule="auto"/>
              <w:rPr>
                <w:b/>
                <w:bCs/>
                <w:sz w:val="24"/>
              </w:rPr>
            </w:pPr>
            <w:r>
              <w:rPr>
                <w:rFonts w:hint="eastAsia"/>
                <w:b/>
                <w:szCs w:val="22"/>
              </w:rPr>
              <w:t xml:space="preserve">     </w:t>
            </w:r>
            <w:r>
              <w:rPr>
                <w:b/>
                <w:szCs w:val="22"/>
              </w:rPr>
              <w:pict>
                <v:group id="_x0000_s2348" o:spid="_x0000_s2348" o:spt="203" style="height:288.85pt;width:372.9pt;" coordorigin="2005,6217" coordsize="7458,5777" editas="canvas">
                  <o:lock v:ext="edit"/>
                  <v:shape id="_x0000_s2349" o:spid="_x0000_s2349" o:spt="75" type="#_x0000_t75" style="position:absolute;left:2005;top:6217;height:5777;width:7458;" filled="f" o:preferrelative="t" stroked="f" coordsize="21600,21600">
                    <v:path/>
                    <v:fill on="f" focussize="0,0"/>
                    <v:stroke on="f" joinstyle="miter"/>
                    <v:imagedata o:title=""/>
                    <o:lock v:ext="edit" rotation="t" aspectratio="t"/>
                  </v:shape>
                  <v:shape id="自选图形 30756" o:spid="_x0000_s2352" o:spt="32" type="#_x0000_t32" style="position:absolute;left:5069;top:7335;flip:x;height:283;width:1;" filled="f" coordsize="21600,21600">
                    <v:path arrowok="t"/>
                    <v:fill on="f" focussize="0,0"/>
                    <v:stroke endarrow="block"/>
                    <v:imagedata o:title=""/>
                    <o:lock v:ext="edit"/>
                  </v:shape>
                  <v:rect id="矩形 30759" o:spid="_x0000_s2353" o:spt="1" style="position:absolute;left:4360;top:6868;height:442;width:1400;" filled="f" coordsize="21600,21600">
                    <v:path/>
                    <v:fill on="f" focussize="0,0"/>
                    <v:stroke/>
                    <v:imagedata o:title=""/>
                    <o:lock v:ext="edit"/>
                    <v:textbox>
                      <w:txbxContent>
                        <w:p>
                          <w:pPr>
                            <w:jc w:val="center"/>
                          </w:pPr>
                          <w:r>
                            <w:rPr>
                              <w:rFonts w:hint="eastAsia"/>
                            </w:rPr>
                            <w:t>原料前处理</w:t>
                          </w:r>
                        </w:p>
                      </w:txbxContent>
                    </v:textbox>
                  </v:rect>
                  <v:rect id="矩形 30761" o:spid="_x0000_s2355" o:spt="1" style="position:absolute;left:3435;top:6217;height:498;width:3051;" filled="f" stroked="f" coordsize="21600,21600">
                    <v:path/>
                    <v:fill on="f" focussize="0,0"/>
                    <v:stroke on="f"/>
                    <v:imagedata o:title=""/>
                    <o:lock v:ext="edit"/>
                    <v:textbox>
                      <w:txbxContent>
                        <w:p>
                          <w:pPr>
                            <w:jc w:val="center"/>
                          </w:pPr>
                          <w:r>
                            <w:rPr>
                              <w:rFonts w:hint="eastAsia"/>
                            </w:rPr>
                            <w:t>面粉、植物油、酵母、盐、水</w:t>
                          </w:r>
                        </w:p>
                      </w:txbxContent>
                    </v:textbox>
                  </v:rect>
                  <v:shape id="自选图形 30756" o:spid="_x0000_s2357" o:spt="32" type="#_x0000_t32" style="position:absolute;left:5067;top:8053;flip:x;height:283;width:1;" filled="f" coordsize="21600,21600">
                    <v:path arrowok="t"/>
                    <v:fill on="f" focussize="0,0"/>
                    <v:stroke endarrow="block"/>
                    <v:imagedata o:title=""/>
                    <o:lock v:ext="edit"/>
                  </v:shape>
                  <v:shape id="自选图形 30756" o:spid="_x0000_s2358" o:spt="32" type="#_x0000_t32" style="position:absolute;left:5081;top:8787;flip:x;height:283;width:1;" filled="f" coordsize="21600,21600">
                    <v:path arrowok="t"/>
                    <v:fill on="f" focussize="0,0"/>
                    <v:stroke endarrow="block"/>
                    <v:imagedata o:title=""/>
                    <o:lock v:ext="edit"/>
                  </v:shape>
                  <v:rect id="矩形 30745" o:spid="_x0000_s2359" o:spt="1" style="position:absolute;left:6623;top:11172;height:480;width:1725;" filled="f" coordsize="21600,21600">
                    <v:path/>
                    <v:fill on="f" focussize="0,0"/>
                    <v:stroke dashstyle="dash"/>
                    <v:imagedata o:title=""/>
                    <o:lock v:ext="edit"/>
                    <v:textbox>
                      <w:txbxContent>
                        <w:p>
                          <w:r>
                            <w:t>S1：</w:t>
                          </w:r>
                          <w:r>
                            <w:rPr>
                              <w:rFonts w:hint="eastAsia"/>
                            </w:rPr>
                            <w:t>废包装材料</w:t>
                          </w:r>
                        </w:p>
                      </w:txbxContent>
                    </v:textbox>
                  </v:rect>
                  <v:rect id="矩形 30745" o:spid="_x0000_s2361" o:spt="1" style="position:absolute;left:2336;top:8105;height:447;width:1725;" filled="f" coordsize="21600,21600">
                    <v:path/>
                    <v:fill on="f" focussize="0,0"/>
                    <v:stroke dashstyle="dash"/>
                    <v:imagedata o:title=""/>
                    <o:lock v:ext="edit"/>
                    <v:textbox>
                      <w:txbxContent>
                        <w:p>
                          <w:r>
                            <w:t>G1：</w:t>
                          </w:r>
                          <w:r>
                            <w:rPr>
                              <w:rFonts w:hint="eastAsia"/>
                            </w:rPr>
                            <w:t>燃烧废气</w:t>
                          </w:r>
                        </w:p>
                      </w:txbxContent>
                    </v:textbox>
                  </v:rect>
                  <v:rect id="矩形 30745" o:spid="_x0000_s2363" o:spt="1" style="position:absolute;left:6766;top:7242;height:487;width:1087;" filled="f" stroked="f" coordsize="21600,21600">
                    <v:path/>
                    <v:fill on="f" focussize="0,0"/>
                    <v:stroke on="f"/>
                    <v:imagedata o:title=""/>
                    <o:lock v:ext="edit"/>
                    <v:textbox>
                      <w:txbxContent>
                        <w:p>
                          <w:r>
                            <w:rPr>
                              <w:rFonts w:hint="eastAsia"/>
                            </w:rPr>
                            <w:t>N</w:t>
                          </w:r>
                          <w:r>
                            <w:t>：</w:t>
                          </w:r>
                          <w:r>
                            <w:rPr>
                              <w:rFonts w:hint="eastAsia"/>
                            </w:rPr>
                            <w:t>噪声</w:t>
                          </w:r>
                        </w:p>
                      </w:txbxContent>
                    </v:textbox>
                  </v:rect>
                  <v:shape id="自选图形 30763" o:spid="_x0000_s2364" o:spt="32" type="#_x0000_t32" style="position:absolute;left:5773;top:7090;height:1;width:855;" filled="f" coordsize="21600,21600">
                    <v:path arrowok="t"/>
                    <v:fill on="f" focussize="0,0"/>
                    <v:stroke dashstyle="dash" endarrow="block"/>
                    <v:imagedata o:title=""/>
                    <o:lock v:ext="edit"/>
                  </v:shape>
                  <v:shape id="自选图形 30756" o:spid="_x0000_s2365" o:spt="32" type="#_x0000_t32" style="position:absolute;left:5063;top:6575;flip:x;height:280;width:0;" filled="f" coordsize="21600,21600">
                    <v:path arrowok="t"/>
                    <v:fill on="f" focussize="0,0"/>
                    <v:stroke endarrow="block"/>
                    <v:imagedata o:title=""/>
                    <o:lock v:ext="edit"/>
                  </v:shape>
                  <v:rect id="矩形 30759" o:spid="_x0000_s2366" o:spt="1" style="position:absolute;left:4351;top:7600;height:440;width:1400;" filled="f" coordsize="21600,21600">
                    <v:path/>
                    <v:fill on="f" focussize="0,0"/>
                    <v:stroke/>
                    <v:imagedata o:title=""/>
                    <o:lock v:ext="edit"/>
                    <v:textbox>
                      <w:txbxContent>
                        <w:p>
                          <w:pPr>
                            <w:jc w:val="center"/>
                          </w:pPr>
                          <w:r>
                            <w:rPr>
                              <w:rFonts w:hint="eastAsia"/>
                            </w:rPr>
                            <w:t>和面、发酵</w:t>
                          </w:r>
                        </w:p>
                      </w:txbxContent>
                    </v:textbox>
                  </v:rect>
                  <v:rect id="矩形 30759" o:spid="_x0000_s2367" o:spt="1" style="position:absolute;left:4363;top:8325;height:440;width:1400;" filled="f" coordsize="21600,21600">
                    <v:path/>
                    <v:fill on="f" focussize="0,0"/>
                    <v:stroke/>
                    <v:imagedata o:title=""/>
                    <o:lock v:ext="edit"/>
                    <v:textbox>
                      <w:txbxContent>
                        <w:p>
                          <w:pPr>
                            <w:jc w:val="center"/>
                          </w:pPr>
                          <w:r>
                            <w:rPr>
                              <w:rFonts w:hint="eastAsia"/>
                            </w:rPr>
                            <w:t>成型</w:t>
                          </w:r>
                        </w:p>
                      </w:txbxContent>
                    </v:textbox>
                  </v:rect>
                  <v:rect id="矩形 30759" o:spid="_x0000_s2368" o:spt="1" style="position:absolute;left:4363;top:9063;height:440;width:1400;" filled="f" coordsize="21600,21600">
                    <v:path/>
                    <v:fill on="f" focussize="0,0"/>
                    <v:stroke/>
                    <v:imagedata o:title=""/>
                    <o:lock v:ext="edit"/>
                    <v:textbox>
                      <w:txbxContent>
                        <w:p>
                          <w:pPr>
                            <w:jc w:val="center"/>
                          </w:pPr>
                          <w:r>
                            <w:rPr>
                              <w:rFonts w:hint="eastAsia"/>
                            </w:rPr>
                            <w:t>烘烤</w:t>
                          </w:r>
                        </w:p>
                      </w:txbxContent>
                    </v:textbox>
                  </v:rect>
                  <v:rect id="矩形 30761" o:spid="_x0000_s2369" o:spt="1" style="position:absolute;left:2492;top:9037;height:480;width:1378;" filled="f" coordsize="21600,21600">
                    <v:path/>
                    <v:fill on="f" focussize="0,0"/>
                    <v:stroke/>
                    <v:imagedata o:title=""/>
                    <o:lock v:ext="edit"/>
                    <v:textbox>
                      <w:txbxContent>
                        <w:p>
                          <w:pPr>
                            <w:jc w:val="center"/>
                          </w:pPr>
                          <w:r>
                            <w:rPr>
                              <w:rFonts w:hint="eastAsia"/>
                            </w:rPr>
                            <w:t>天然气热风</w:t>
                          </w:r>
                        </w:p>
                      </w:txbxContent>
                    </v:textbox>
                  </v:rect>
                  <v:shape id="自选图形 30756" o:spid="_x0000_s2370" o:spt="32" type="#_x0000_t32" style="position:absolute;left:3876;top:9275;height:3;width:471;" filled="f" coordsize="21600,21600">
                    <v:path arrowok="t"/>
                    <v:fill on="f" focussize="0,0"/>
                    <v:stroke endarrow="block"/>
                    <v:imagedata o:title=""/>
                    <o:lock v:ext="edit"/>
                  </v:shape>
                  <v:shape id="自选图形 30756" o:spid="_x0000_s2371" o:spt="32" type="#_x0000_t32" style="position:absolute;left:5101;top:9500;flip:x;height:280;width:0;" filled="f" coordsize="21600,21600">
                    <v:path arrowok="t"/>
                    <v:fill on="f" focussize="0,0"/>
                    <v:stroke endarrow="block"/>
                    <v:imagedata o:title=""/>
                    <o:lock v:ext="edit"/>
                  </v:shape>
                  <v:rect id="矩形 30759" o:spid="_x0000_s2372" o:spt="1" style="position:absolute;left:4363;top:9762;height:440;width:1400;" filled="f" coordsize="21600,21600">
                    <v:path/>
                    <v:fill on="f" focussize="0,0"/>
                    <v:stroke/>
                    <v:imagedata o:title=""/>
                    <o:lock v:ext="edit"/>
                    <v:textbox>
                      <w:txbxContent>
                        <w:p>
                          <w:pPr>
                            <w:jc w:val="center"/>
                          </w:pPr>
                          <w:r>
                            <w:rPr>
                              <w:rFonts w:hint="eastAsia"/>
                            </w:rPr>
                            <w:t>冷却</w:t>
                          </w:r>
                        </w:p>
                      </w:txbxContent>
                    </v:textbox>
                  </v:rect>
                  <v:shape id="自选图形 30756" o:spid="_x0000_s2373" o:spt="32" type="#_x0000_t32" style="position:absolute;left:5100;top:10200;flip:x;height:280;width:0;" filled="f" coordsize="21600,21600">
                    <v:path arrowok="t"/>
                    <v:fill on="f" focussize="0,0"/>
                    <v:stroke endarrow="block"/>
                    <v:imagedata o:title=""/>
                    <o:lock v:ext="edit"/>
                  </v:shape>
                  <v:rect id="矩形 30759" o:spid="_x0000_s2374" o:spt="1" style="position:absolute;left:4376;top:10462;height:440;width:1400;" filled="f" coordsize="21600,21600">
                    <v:path/>
                    <v:fill on="f" focussize="0,0"/>
                    <v:stroke/>
                    <v:imagedata o:title=""/>
                    <o:lock v:ext="edit"/>
                    <v:textbox>
                      <w:txbxContent>
                        <w:p>
                          <w:pPr>
                            <w:jc w:val="center"/>
                          </w:pPr>
                          <w:r>
                            <w:rPr>
                              <w:rFonts w:hint="eastAsia"/>
                            </w:rPr>
                            <w:t>注心</w:t>
                          </w:r>
                        </w:p>
                      </w:txbxContent>
                    </v:textbox>
                  </v:rect>
                  <v:shape id="自选图形 30756" o:spid="_x0000_s2375" o:spt="32" type="#_x0000_t32" style="position:absolute;left:4028;top:10683;height:10;width:357;" filled="f" coordsize="21600,21600">
                    <v:path arrowok="t"/>
                    <v:fill on="f" focussize="0,0"/>
                    <v:stroke endarrow="block"/>
                    <v:imagedata o:title=""/>
                    <o:lock v:ext="edit"/>
                  </v:shape>
                  <v:rect id="矩形 30761" o:spid="_x0000_s2376" o:spt="1" style="position:absolute;left:2063;top:10212;height:1268;width:962;" filled="f" stroked="f" coordsize="21600,21600">
                    <v:path/>
                    <v:fill on="f" focussize="0,0"/>
                    <v:stroke on="f"/>
                    <v:imagedata o:title=""/>
                    <o:lock v:ext="edit"/>
                    <v:textbox>
                      <w:txbxContent>
                        <w:p>
                          <w:pPr>
                            <w:jc w:val="center"/>
                          </w:pPr>
                          <w:r>
                            <w:rPr>
                              <w:rFonts w:hint="eastAsia"/>
                            </w:rPr>
                            <w:t>奶粉、白砂糖、麦芽糖</w:t>
                          </w:r>
                        </w:p>
                      </w:txbxContent>
                    </v:textbox>
                  </v:rect>
                  <v:shape id="自选图形 30756" o:spid="_x0000_s2377" o:spt="32" type="#_x0000_t32" style="position:absolute;left:2897;top:10694;height:7;width:376;" filled="f" coordsize="21600,21600">
                    <v:path arrowok="t"/>
                    <v:fill on="f" focussize="0,0"/>
                    <v:stroke endarrow="block"/>
                    <v:imagedata o:title=""/>
                    <o:lock v:ext="edit"/>
                  </v:shape>
                  <v:rect id="矩形 30759" o:spid="_x0000_s2378" o:spt="1" style="position:absolute;left:3275;top:10462;height:440;width:727;" filled="f" coordsize="21600,21600">
                    <v:path/>
                    <v:fill on="f" focussize="0,0"/>
                    <v:stroke/>
                    <v:imagedata o:title=""/>
                    <o:lock v:ext="edit"/>
                    <v:textbox>
                      <w:txbxContent>
                        <w:p>
                          <w:pPr>
                            <w:jc w:val="center"/>
                          </w:pPr>
                          <w:r>
                            <w:rPr>
                              <w:rFonts w:hint="eastAsia"/>
                            </w:rPr>
                            <w:t>熬糖</w:t>
                          </w:r>
                        </w:p>
                      </w:txbxContent>
                    </v:textbox>
                  </v:rect>
                  <v:shape id="自选图形 30756" o:spid="_x0000_s2379" o:spt="32" type="#_x0000_t32" style="position:absolute;left:5088;top:10913;flip:x;height:280;width:0;" filled="f" coordsize="21600,21600">
                    <v:path arrowok="t"/>
                    <v:fill on="f" focussize="0,0"/>
                    <v:stroke endarrow="block"/>
                    <v:imagedata o:title=""/>
                    <o:lock v:ext="edit"/>
                  </v:shape>
                  <v:rect id="矩形 30759" o:spid="_x0000_s2380" o:spt="1" style="position:absolute;left:4375;top:11175;height:440;width:1400;" filled="f" coordsize="21600,21600">
                    <v:path/>
                    <v:fill on="f" focussize="0,0"/>
                    <v:stroke/>
                    <v:imagedata o:title=""/>
                    <o:lock v:ext="edit"/>
                    <v:textbox>
                      <w:txbxContent>
                        <w:p>
                          <w:pPr>
                            <w:jc w:val="center"/>
                          </w:pPr>
                          <w:r>
                            <w:rPr>
                              <w:rFonts w:hint="eastAsia"/>
                            </w:rPr>
                            <w:t>包装、成品</w:t>
                          </w:r>
                        </w:p>
                      </w:txbxContent>
                    </v:textbox>
                  </v:rect>
                  <v:shape id="自选图形 30763" o:spid="_x0000_s2381" o:spt="32" type="#_x0000_t32" style="position:absolute;left:3197;top:8569;flip:x y;height:455;width:3;" filled="f" coordsize="21600,21600">
                    <v:path arrowok="t"/>
                    <v:fill on="f" focussize="0,0"/>
                    <v:stroke dashstyle="dash" endarrow="block"/>
                    <v:imagedata o:title=""/>
                    <o:lock v:ext="edit"/>
                  </v:shape>
                  <v:shape id="自选图形 30763" o:spid="_x0000_s2382" o:spt="32" type="#_x0000_t32" style="position:absolute;left:5788;top:11388;height:0;width:840;" filled="f" coordsize="21600,21600">
                    <v:path arrowok="t"/>
                    <v:fill on="f" focussize="0,0"/>
                    <v:stroke dashstyle="dash" endarrow="block"/>
                    <v:imagedata o:title=""/>
                    <o:lock v:ext="edit"/>
                  </v:shape>
                  <v:shape id="自选图形 30763" o:spid="_x0000_s2383" o:spt="32" type="#_x0000_t32" style="position:absolute;left:5775;top:7812;height:0;width:840;" filled="f" coordsize="21600,21600">
                    <v:path arrowok="t"/>
                    <v:fill on="f" focussize="0,0"/>
                    <v:stroke dashstyle="dash" endarrow="block"/>
                    <v:imagedata o:title=""/>
                    <o:lock v:ext="edit"/>
                  </v:shape>
                  <w10:wrap type="none"/>
                  <w10:anchorlock/>
                </v:group>
              </w:pict>
            </w:r>
          </w:p>
          <w:p>
            <w:pPr>
              <w:spacing w:line="360" w:lineRule="auto"/>
              <w:jc w:val="center"/>
              <w:rPr>
                <w:b/>
                <w:bCs/>
                <w:sz w:val="24"/>
              </w:rPr>
            </w:pPr>
            <w:r>
              <w:rPr>
                <w:rFonts w:hint="eastAsia"/>
                <w:b/>
                <w:bCs/>
                <w:sz w:val="24"/>
              </w:rPr>
              <w:t>图2-8  现有项目</w:t>
            </w:r>
            <w:r>
              <w:rPr>
                <w:rFonts w:hint="eastAsia"/>
                <w:b/>
                <w:sz w:val="24"/>
              </w:rPr>
              <w:t>饼干</w:t>
            </w:r>
            <w:r>
              <w:rPr>
                <w:b/>
                <w:sz w:val="24"/>
              </w:rPr>
              <w:t>生产工艺流程</w:t>
            </w:r>
          </w:p>
          <w:p>
            <w:pPr>
              <w:pStyle w:val="13"/>
              <w:widowControl/>
              <w:spacing w:after="0" w:line="360" w:lineRule="auto"/>
              <w:ind w:left="0" w:leftChars="0" w:firstLine="474"/>
              <w:jc w:val="left"/>
              <w:rPr>
                <w:b/>
                <w:spacing w:val="-2"/>
                <w:sz w:val="24"/>
              </w:rPr>
            </w:pPr>
            <w:r>
              <w:rPr>
                <w:b/>
                <w:spacing w:val="-2"/>
                <w:sz w:val="24"/>
              </w:rPr>
              <w:t>生产工艺说明：</w:t>
            </w:r>
          </w:p>
          <w:p>
            <w:pPr>
              <w:spacing w:line="360" w:lineRule="auto"/>
              <w:ind w:firstLine="480" w:firstLineChars="200"/>
              <w:rPr>
                <w:sz w:val="24"/>
              </w:rPr>
            </w:pPr>
            <w:r>
              <w:rPr>
                <w:rFonts w:hint="eastAsia"/>
                <w:sz w:val="24"/>
              </w:rPr>
              <w:t>（1）原料前处理：将面粉、植物油、酵母、盐以及自来水等原材料采取打烂、溶解、捣碎等加工步骤进行预处理。粉状原料运至料仓后采用风机吸入输送系统，该过程无粉尘废气产生。</w:t>
            </w:r>
          </w:p>
          <w:p>
            <w:pPr>
              <w:spacing w:line="360" w:lineRule="auto"/>
              <w:ind w:firstLine="480" w:firstLineChars="200"/>
              <w:rPr>
                <w:sz w:val="24"/>
              </w:rPr>
            </w:pPr>
            <w:r>
              <w:rPr>
                <w:rFonts w:hint="eastAsia"/>
                <w:sz w:val="24"/>
              </w:rPr>
              <w:t>（2）和面发酵：将面粉、植物油、酵母、盐以及自来水按照一定比例进行配料；用和面机进行搅拌，直至搅拌和成面团。随后酵母进行静置发酵，发酵时间约为 1h 左右。</w:t>
            </w:r>
          </w:p>
          <w:p>
            <w:pPr>
              <w:pStyle w:val="2"/>
              <w:ind w:firstLine="480" w:firstLineChars="200"/>
            </w:pPr>
            <w:r>
              <w:rPr>
                <w:rFonts w:hint="eastAsia"/>
              </w:rPr>
              <w:t>（3）成型：整个面团达到成熟阶段后，将发酵完的面团放入模具中形成饼胚。</w:t>
            </w:r>
          </w:p>
          <w:p>
            <w:pPr>
              <w:pStyle w:val="2"/>
              <w:spacing w:line="360" w:lineRule="auto"/>
              <w:ind w:firstLine="480" w:firstLineChars="200"/>
            </w:pPr>
            <w:r>
              <w:rPr>
                <w:rFonts w:hint="eastAsia"/>
              </w:rPr>
              <w:t>（4）烘烤：将成型后的饼胚，随后进入天然气烘箱进行加热（天然气燃烧后间接加热烘箱内空气，对饼胚进行烘干），使饼胚成熟。本工序产生天然气燃烧废气。根据不同的产品烘烤温14度约 180℃—200℃，烘烤时间为 20—25 分钟。烘干完成后正反面刷上一层植物油。该工序产生天然气燃烧过程中产生燃烧烟气废气 G1。</w:t>
            </w:r>
          </w:p>
          <w:p>
            <w:pPr>
              <w:spacing w:line="360" w:lineRule="auto"/>
              <w:ind w:firstLine="480" w:firstLineChars="200"/>
              <w:rPr>
                <w:sz w:val="24"/>
              </w:rPr>
            </w:pPr>
            <w:r>
              <w:rPr>
                <w:rFonts w:hint="eastAsia"/>
                <w:sz w:val="24"/>
              </w:rPr>
              <w:t>（5）冷却：将成型后的半成品通过输送带吹风冷却。</w:t>
            </w:r>
          </w:p>
          <w:p>
            <w:pPr>
              <w:spacing w:line="360" w:lineRule="auto"/>
              <w:ind w:firstLine="480" w:firstLineChars="200"/>
              <w:rPr>
                <w:sz w:val="24"/>
              </w:rPr>
            </w:pPr>
            <w:r>
              <w:rPr>
                <w:rFonts w:hint="eastAsia"/>
                <w:sz w:val="24"/>
              </w:rPr>
              <w:t>（6）注心：将白砂糖、麦芽糖以及奶粉按照一定比例进行配比，随后放入熬糖机进行加工得到混合物。通过注心机注入两片饼干中间。</w:t>
            </w:r>
          </w:p>
          <w:p>
            <w:pPr>
              <w:spacing w:line="360" w:lineRule="auto"/>
              <w:ind w:firstLine="480" w:firstLineChars="200"/>
              <w:rPr>
                <w:sz w:val="24"/>
              </w:rPr>
            </w:pPr>
            <w:r>
              <w:rPr>
                <w:rFonts w:hint="eastAsia"/>
                <w:sz w:val="24"/>
              </w:rPr>
              <w:t>（7）包装：经注心后的饼干用包装袋包装后，再用纸箱包装。该工序产生废包装材料S1。</w:t>
            </w:r>
          </w:p>
          <w:p>
            <w:pPr>
              <w:spacing w:line="360" w:lineRule="auto"/>
              <w:ind w:firstLine="482" w:firstLineChars="200"/>
              <w:rPr>
                <w:sz w:val="24"/>
              </w:rPr>
            </w:pPr>
            <w:r>
              <w:rPr>
                <w:rFonts w:hint="eastAsia"/>
                <w:b/>
                <w:bCs/>
                <w:sz w:val="24"/>
              </w:rPr>
              <w:t>饼干生产、加工项目生产线已建成，未投产。</w:t>
            </w:r>
          </w:p>
          <w:p>
            <w:pPr>
              <w:spacing w:line="360" w:lineRule="auto"/>
              <w:ind w:firstLine="482" w:firstLineChars="200"/>
              <w:rPr>
                <w:b/>
                <w:sz w:val="24"/>
              </w:rPr>
            </w:pPr>
            <w:r>
              <w:rPr>
                <w:rFonts w:hint="eastAsia"/>
                <w:b/>
                <w:sz w:val="24"/>
              </w:rPr>
              <w:t>四</w:t>
            </w:r>
            <w:r>
              <w:rPr>
                <w:b/>
                <w:sz w:val="24"/>
              </w:rPr>
              <w:t>、现有项目</w:t>
            </w:r>
            <w:r>
              <w:rPr>
                <w:rFonts w:hint="eastAsia"/>
                <w:b/>
                <w:sz w:val="24"/>
              </w:rPr>
              <w:t>原味海苔</w:t>
            </w:r>
            <w:r>
              <w:rPr>
                <w:b/>
                <w:sz w:val="24"/>
              </w:rPr>
              <w:t>生产工艺流程及简述</w:t>
            </w:r>
          </w:p>
          <w:p>
            <w:pPr>
              <w:spacing w:line="360" w:lineRule="auto"/>
              <w:rPr>
                <w:sz w:val="24"/>
              </w:rPr>
            </w:pPr>
            <w:r>
              <w:drawing>
                <wp:inline distT="0" distB="0" distL="114300" distR="114300">
                  <wp:extent cx="5213985" cy="5318125"/>
                  <wp:effectExtent l="0" t="0" r="5715"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13985" cy="5318125"/>
                          </a:xfrm>
                          <a:prstGeom prst="rect">
                            <a:avLst/>
                          </a:prstGeom>
                          <a:noFill/>
                          <a:ln>
                            <a:noFill/>
                          </a:ln>
                        </pic:spPr>
                      </pic:pic>
                    </a:graphicData>
                  </a:graphic>
                </wp:inline>
              </w:drawing>
            </w:r>
          </w:p>
          <w:p>
            <w:pPr>
              <w:spacing w:line="360" w:lineRule="auto"/>
              <w:jc w:val="center"/>
              <w:rPr>
                <w:b/>
                <w:bCs/>
                <w:sz w:val="24"/>
              </w:rPr>
            </w:pPr>
            <w:r>
              <w:rPr>
                <w:rFonts w:hint="eastAsia"/>
                <w:b/>
                <w:bCs/>
                <w:sz w:val="24"/>
              </w:rPr>
              <w:t>图2-9  现有项目</w:t>
            </w:r>
            <w:r>
              <w:rPr>
                <w:rFonts w:hint="eastAsia"/>
                <w:b/>
                <w:sz w:val="24"/>
              </w:rPr>
              <w:t>饼干</w:t>
            </w:r>
            <w:r>
              <w:rPr>
                <w:b/>
                <w:sz w:val="24"/>
              </w:rPr>
              <w:t>生产工艺流程</w:t>
            </w:r>
          </w:p>
          <w:p>
            <w:pPr>
              <w:pStyle w:val="13"/>
              <w:widowControl/>
              <w:spacing w:after="0" w:line="360" w:lineRule="auto"/>
              <w:ind w:left="0" w:leftChars="0" w:firstLine="474"/>
              <w:jc w:val="left"/>
              <w:rPr>
                <w:b/>
                <w:spacing w:val="-2"/>
                <w:sz w:val="24"/>
              </w:rPr>
            </w:pPr>
            <w:r>
              <w:rPr>
                <w:b/>
                <w:spacing w:val="-2"/>
                <w:sz w:val="24"/>
              </w:rPr>
              <w:t>生产工艺说明：</w:t>
            </w:r>
          </w:p>
          <w:p>
            <w:pPr>
              <w:spacing w:line="360" w:lineRule="auto"/>
              <w:ind w:firstLine="480" w:firstLineChars="200"/>
              <w:rPr>
                <w:sz w:val="24"/>
              </w:rPr>
            </w:pPr>
            <w:r>
              <w:rPr>
                <w:rFonts w:hint="eastAsia"/>
                <w:sz w:val="24"/>
              </w:rPr>
              <w:t>（1）人工整理挑选：对外购的紫菜原材料进行人工整理挑选，去除不合格的原料。该工序产生的污染物为不合格原料S1，主要成分为紫菜。</w:t>
            </w:r>
          </w:p>
          <w:p>
            <w:pPr>
              <w:spacing w:line="360" w:lineRule="auto"/>
              <w:ind w:firstLine="480" w:firstLineChars="200"/>
              <w:rPr>
                <w:sz w:val="24"/>
              </w:rPr>
            </w:pPr>
            <w:r>
              <w:rPr>
                <w:rFonts w:hint="eastAsia"/>
                <w:sz w:val="24"/>
              </w:rPr>
              <w:t>（2）电加热干燥：使用海苔烤制线设备对挑选后的紫菜原料进行加热干燥，去除紫菜中带有的水份。</w:t>
            </w:r>
          </w:p>
          <w:p>
            <w:pPr>
              <w:spacing w:line="360" w:lineRule="auto"/>
              <w:ind w:firstLine="480" w:firstLineChars="200"/>
              <w:rPr>
                <w:sz w:val="24"/>
              </w:rPr>
            </w:pPr>
            <w:r>
              <w:rPr>
                <w:rFonts w:hint="eastAsia"/>
                <w:sz w:val="24"/>
              </w:rPr>
              <w:t>（3）煮料工序：干燥后紫菜加入各种辅助材料（包括白砂糖、盐分、生姜、香菇）以及新鲜水进行蒸煮，蒸煮工序在夹层锅内进行。蒸煮过程采用天然气进行加热。</w:t>
            </w:r>
          </w:p>
          <w:p>
            <w:pPr>
              <w:spacing w:line="360" w:lineRule="auto"/>
              <w:ind w:firstLine="480" w:firstLineChars="200"/>
              <w:rPr>
                <w:sz w:val="24"/>
              </w:rPr>
            </w:pPr>
            <w:r>
              <w:rPr>
                <w:rFonts w:hint="eastAsia"/>
                <w:sz w:val="24"/>
              </w:rPr>
              <w:t>（4）干燥工序：使用再干机对蒸煮后紫菜进行电加热干燥。</w:t>
            </w:r>
          </w:p>
          <w:p>
            <w:pPr>
              <w:pStyle w:val="49"/>
              <w:ind w:firstLine="480"/>
              <w:rPr>
                <w:b/>
                <w:bCs/>
              </w:rPr>
            </w:pPr>
            <w:r>
              <w:rPr>
                <w:rFonts w:hint="eastAsia"/>
              </w:rPr>
              <w:t>（5）切片工序：对干燥后的紫菜进行分切成型。</w:t>
            </w:r>
          </w:p>
          <w:p>
            <w:pPr>
              <w:pStyle w:val="49"/>
              <w:ind w:firstLine="480"/>
            </w:pPr>
            <w:r>
              <w:rPr>
                <w:rFonts w:hint="eastAsia"/>
              </w:rPr>
              <w:t>（6）包装工序：采用包装机对紫菜进行包装。</w:t>
            </w:r>
          </w:p>
          <w:p>
            <w:pPr>
              <w:pStyle w:val="49"/>
              <w:ind w:firstLine="482"/>
            </w:pPr>
            <w:r>
              <w:rPr>
                <w:rFonts w:hint="eastAsia"/>
                <w:b/>
                <w:bCs/>
              </w:rPr>
              <w:t>五、</w:t>
            </w:r>
            <w:r>
              <w:rPr>
                <w:b/>
                <w:szCs w:val="21"/>
              </w:rPr>
              <w:t>现有项目主要污染物产生及处理情况</w:t>
            </w:r>
          </w:p>
          <w:p>
            <w:pPr>
              <w:spacing w:line="360" w:lineRule="auto"/>
              <w:ind w:firstLine="560"/>
              <w:rPr>
                <w:sz w:val="24"/>
              </w:rPr>
            </w:pPr>
            <w:r>
              <w:rPr>
                <w:sz w:val="24"/>
              </w:rPr>
              <w:t>根据项目验收报告及现场情况，原有项目污染情况如下：</w:t>
            </w:r>
          </w:p>
          <w:p>
            <w:pPr>
              <w:spacing w:line="360" w:lineRule="auto"/>
              <w:ind w:firstLine="562"/>
              <w:rPr>
                <w:b/>
                <w:szCs w:val="21"/>
              </w:rPr>
            </w:pPr>
            <w:r>
              <w:rPr>
                <w:rFonts w:hint="eastAsia"/>
                <w:b/>
                <w:sz w:val="24"/>
              </w:rPr>
              <w:t>1、</w:t>
            </w:r>
            <w:r>
              <w:rPr>
                <w:b/>
                <w:sz w:val="24"/>
              </w:rPr>
              <w:t>废气：</w:t>
            </w:r>
          </w:p>
          <w:p>
            <w:pPr>
              <w:pStyle w:val="49"/>
              <w:ind w:firstLine="480"/>
            </w:pPr>
            <w:r>
              <w:rPr>
                <w:rFonts w:hint="eastAsia"/>
              </w:rPr>
              <w:t>本项目产生的废气分有组织废气。有组织废气主要为燃气锅炉废气。</w:t>
            </w:r>
          </w:p>
          <w:p>
            <w:pPr>
              <w:pStyle w:val="49"/>
              <w:ind w:firstLine="480"/>
            </w:pPr>
            <w:r>
              <w:rPr>
                <w:rFonts w:hint="eastAsia"/>
              </w:rPr>
              <w:t>（1）燃气锅炉废气主要污染物：颗粒物、二氧化硫、氮氧化物控制措施：锅炉目前采用天然气为燃料（柴油为备用燃料），废气通过1根15m高排气筒排放。</w:t>
            </w:r>
          </w:p>
          <w:p>
            <w:pPr>
              <w:pStyle w:val="49"/>
              <w:ind w:firstLine="466"/>
              <w:jc w:val="center"/>
            </w:pPr>
            <w:r>
              <w:rPr>
                <w:b/>
                <w:spacing w:val="-4"/>
                <w:szCs w:val="21"/>
              </w:rPr>
              <w:t>表2</w:t>
            </w:r>
            <w:r>
              <w:rPr>
                <w:rFonts w:hint="eastAsia"/>
                <w:b/>
                <w:spacing w:val="-4"/>
                <w:szCs w:val="21"/>
              </w:rPr>
              <w:t>-10</w:t>
            </w:r>
            <w:r>
              <w:rPr>
                <w:b/>
                <w:spacing w:val="-4"/>
                <w:szCs w:val="21"/>
              </w:rPr>
              <w:t xml:space="preserve"> </w:t>
            </w:r>
            <w:r>
              <w:rPr>
                <w:b/>
                <w:szCs w:val="21"/>
              </w:rPr>
              <w:t xml:space="preserve"> 项目验收废气排放及处理措施表</w:t>
            </w:r>
          </w:p>
          <w:tbl>
            <w:tblPr>
              <w:tblStyle w:val="22"/>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520"/>
              <w:gridCol w:w="1020"/>
              <w:gridCol w:w="636"/>
              <w:gridCol w:w="1599"/>
              <w:gridCol w:w="997"/>
              <w:gridCol w:w="1117"/>
              <w:gridCol w:w="997"/>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78" w:type="dxa"/>
                  <w:vMerge w:val="restart"/>
                  <w:vAlign w:val="center"/>
                </w:tcPr>
                <w:p>
                  <w:pPr>
                    <w:pStyle w:val="68"/>
                    <w:rPr>
                      <w:b/>
                      <w:bCs w:val="0"/>
                      <w:color w:val="auto"/>
                    </w:rPr>
                  </w:pPr>
                  <w:r>
                    <w:rPr>
                      <w:b/>
                      <w:bCs w:val="0"/>
                      <w:color w:val="auto"/>
                    </w:rPr>
                    <w:t>序号</w:t>
                  </w:r>
                </w:p>
              </w:tc>
              <w:tc>
                <w:tcPr>
                  <w:tcW w:w="520" w:type="dxa"/>
                  <w:vMerge w:val="restart"/>
                  <w:vAlign w:val="center"/>
                </w:tcPr>
                <w:p>
                  <w:pPr>
                    <w:pStyle w:val="68"/>
                    <w:rPr>
                      <w:b/>
                      <w:bCs w:val="0"/>
                      <w:color w:val="auto"/>
                    </w:rPr>
                  </w:pPr>
                  <w:r>
                    <w:rPr>
                      <w:b/>
                      <w:bCs w:val="0"/>
                      <w:color w:val="auto"/>
                    </w:rPr>
                    <w:t>种类</w:t>
                  </w:r>
                </w:p>
              </w:tc>
              <w:tc>
                <w:tcPr>
                  <w:tcW w:w="1020" w:type="dxa"/>
                  <w:vMerge w:val="restart"/>
                  <w:vAlign w:val="center"/>
                </w:tcPr>
                <w:p>
                  <w:pPr>
                    <w:pStyle w:val="68"/>
                    <w:rPr>
                      <w:b/>
                      <w:bCs w:val="0"/>
                      <w:color w:val="auto"/>
                    </w:rPr>
                  </w:pPr>
                  <w:r>
                    <w:rPr>
                      <w:b/>
                      <w:bCs w:val="0"/>
                      <w:color w:val="auto"/>
                    </w:rPr>
                    <w:t>所在工段</w:t>
                  </w:r>
                </w:p>
              </w:tc>
              <w:tc>
                <w:tcPr>
                  <w:tcW w:w="636" w:type="dxa"/>
                  <w:vMerge w:val="restart"/>
                  <w:vAlign w:val="center"/>
                </w:tcPr>
                <w:p>
                  <w:pPr>
                    <w:pStyle w:val="68"/>
                    <w:rPr>
                      <w:b/>
                      <w:bCs w:val="0"/>
                      <w:color w:val="auto"/>
                    </w:rPr>
                  </w:pPr>
                  <w:r>
                    <w:rPr>
                      <w:b/>
                      <w:bCs w:val="0"/>
                      <w:color w:val="auto"/>
                    </w:rPr>
                    <w:t>编号</w:t>
                  </w:r>
                </w:p>
              </w:tc>
              <w:tc>
                <w:tcPr>
                  <w:tcW w:w="1599" w:type="dxa"/>
                  <w:vMerge w:val="restart"/>
                  <w:vAlign w:val="center"/>
                </w:tcPr>
                <w:p>
                  <w:pPr>
                    <w:pStyle w:val="68"/>
                    <w:rPr>
                      <w:b/>
                      <w:bCs w:val="0"/>
                      <w:color w:val="auto"/>
                    </w:rPr>
                  </w:pPr>
                  <w:r>
                    <w:rPr>
                      <w:b/>
                      <w:bCs w:val="0"/>
                      <w:color w:val="auto"/>
                    </w:rPr>
                    <w:t>污染物</w:t>
                  </w:r>
                </w:p>
              </w:tc>
              <w:tc>
                <w:tcPr>
                  <w:tcW w:w="3111" w:type="dxa"/>
                  <w:gridSpan w:val="3"/>
                  <w:vAlign w:val="center"/>
                </w:tcPr>
                <w:p>
                  <w:pPr>
                    <w:pStyle w:val="68"/>
                    <w:rPr>
                      <w:b/>
                      <w:bCs w:val="0"/>
                      <w:color w:val="auto"/>
                    </w:rPr>
                  </w:pPr>
                  <w:r>
                    <w:rPr>
                      <w:b/>
                      <w:bCs w:val="0"/>
                      <w:color w:val="auto"/>
                    </w:rPr>
                    <w:t>处理措施</w:t>
                  </w:r>
                </w:p>
              </w:tc>
              <w:tc>
                <w:tcPr>
                  <w:tcW w:w="756" w:type="dxa"/>
                  <w:vMerge w:val="restart"/>
                  <w:vAlign w:val="center"/>
                </w:tcPr>
                <w:p>
                  <w:pPr>
                    <w:pStyle w:val="68"/>
                    <w:rPr>
                      <w:b/>
                      <w:bCs w:val="0"/>
                      <w:color w:val="auto"/>
                    </w:rPr>
                  </w:pPr>
                  <w:r>
                    <w:rPr>
                      <w:b/>
                      <w:bCs w:val="0"/>
                      <w:color w:val="auto"/>
                    </w:rPr>
                    <w:t>排放方式及去向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78" w:type="dxa"/>
                  <w:vMerge w:val="continue"/>
                  <w:vAlign w:val="center"/>
                </w:tcPr>
                <w:p>
                  <w:pPr>
                    <w:pStyle w:val="68"/>
                    <w:rPr>
                      <w:color w:val="auto"/>
                    </w:rPr>
                  </w:pPr>
                </w:p>
              </w:tc>
              <w:tc>
                <w:tcPr>
                  <w:tcW w:w="520" w:type="dxa"/>
                  <w:vMerge w:val="continue"/>
                  <w:vAlign w:val="center"/>
                </w:tcPr>
                <w:p>
                  <w:pPr>
                    <w:pStyle w:val="68"/>
                    <w:rPr>
                      <w:color w:val="auto"/>
                    </w:rPr>
                  </w:pPr>
                </w:p>
              </w:tc>
              <w:tc>
                <w:tcPr>
                  <w:tcW w:w="1020" w:type="dxa"/>
                  <w:vMerge w:val="continue"/>
                  <w:vAlign w:val="center"/>
                </w:tcPr>
                <w:p>
                  <w:pPr>
                    <w:pStyle w:val="68"/>
                    <w:rPr>
                      <w:color w:val="auto"/>
                    </w:rPr>
                  </w:pPr>
                </w:p>
              </w:tc>
              <w:tc>
                <w:tcPr>
                  <w:tcW w:w="636" w:type="dxa"/>
                  <w:vMerge w:val="continue"/>
                  <w:vAlign w:val="center"/>
                </w:tcPr>
                <w:p>
                  <w:pPr>
                    <w:pStyle w:val="68"/>
                    <w:rPr>
                      <w:color w:val="auto"/>
                    </w:rPr>
                  </w:pPr>
                </w:p>
              </w:tc>
              <w:tc>
                <w:tcPr>
                  <w:tcW w:w="1599" w:type="dxa"/>
                  <w:vMerge w:val="continue"/>
                  <w:vAlign w:val="center"/>
                </w:tcPr>
                <w:p>
                  <w:pPr>
                    <w:pStyle w:val="68"/>
                    <w:rPr>
                      <w:color w:val="auto"/>
                    </w:rPr>
                  </w:pPr>
                </w:p>
              </w:tc>
              <w:tc>
                <w:tcPr>
                  <w:tcW w:w="997" w:type="dxa"/>
                  <w:vAlign w:val="center"/>
                </w:tcPr>
                <w:p>
                  <w:pPr>
                    <w:pStyle w:val="68"/>
                    <w:rPr>
                      <w:b/>
                      <w:bCs w:val="0"/>
                      <w:color w:val="auto"/>
                    </w:rPr>
                  </w:pPr>
                  <w:r>
                    <w:rPr>
                      <w:b/>
                      <w:bCs w:val="0"/>
                      <w:color w:val="auto"/>
                    </w:rPr>
                    <w:t>环评/初步设计的要求</w:t>
                  </w:r>
                </w:p>
              </w:tc>
              <w:tc>
                <w:tcPr>
                  <w:tcW w:w="1117" w:type="dxa"/>
                  <w:vAlign w:val="center"/>
                </w:tcPr>
                <w:p>
                  <w:pPr>
                    <w:pStyle w:val="68"/>
                    <w:rPr>
                      <w:b/>
                      <w:bCs w:val="0"/>
                      <w:color w:val="auto"/>
                    </w:rPr>
                  </w:pPr>
                  <w:r>
                    <w:rPr>
                      <w:b/>
                      <w:bCs w:val="0"/>
                      <w:color w:val="auto"/>
                    </w:rPr>
                    <w:t>实际建设</w:t>
                  </w:r>
                </w:p>
              </w:tc>
              <w:tc>
                <w:tcPr>
                  <w:tcW w:w="997" w:type="dxa"/>
                  <w:vAlign w:val="center"/>
                </w:tcPr>
                <w:p>
                  <w:pPr>
                    <w:pStyle w:val="68"/>
                    <w:rPr>
                      <w:b/>
                      <w:bCs w:val="0"/>
                      <w:color w:val="auto"/>
                    </w:rPr>
                  </w:pPr>
                  <w:r>
                    <w:rPr>
                      <w:b/>
                      <w:bCs w:val="0"/>
                      <w:color w:val="auto"/>
                    </w:rPr>
                    <w:t>排气筒</w:t>
                  </w:r>
                </w:p>
                <w:p>
                  <w:pPr>
                    <w:pStyle w:val="68"/>
                    <w:rPr>
                      <w:b/>
                      <w:bCs w:val="0"/>
                      <w:color w:val="auto"/>
                    </w:rPr>
                  </w:pPr>
                  <w:r>
                    <w:rPr>
                      <w:b/>
                      <w:bCs w:val="0"/>
                      <w:color w:val="auto"/>
                    </w:rPr>
                    <w:t>高度</w:t>
                  </w:r>
                </w:p>
              </w:tc>
              <w:tc>
                <w:tcPr>
                  <w:tcW w:w="756" w:type="dxa"/>
                  <w:vMerge w:val="continue"/>
                  <w:vAlign w:val="center"/>
                </w:tcPr>
                <w:p>
                  <w:pPr>
                    <w:pStyle w:val="68"/>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78" w:type="dxa"/>
                  <w:vAlign w:val="center"/>
                </w:tcPr>
                <w:p>
                  <w:pPr>
                    <w:pStyle w:val="68"/>
                    <w:rPr>
                      <w:color w:val="auto"/>
                    </w:rPr>
                  </w:pPr>
                  <w:r>
                    <w:rPr>
                      <w:color w:val="auto"/>
                    </w:rPr>
                    <w:t>本次验收项目</w:t>
                  </w:r>
                </w:p>
              </w:tc>
              <w:tc>
                <w:tcPr>
                  <w:tcW w:w="520" w:type="dxa"/>
                  <w:vAlign w:val="center"/>
                </w:tcPr>
                <w:p>
                  <w:pPr>
                    <w:pStyle w:val="68"/>
                    <w:rPr>
                      <w:color w:val="auto"/>
                    </w:rPr>
                  </w:pPr>
                  <w:r>
                    <w:rPr>
                      <w:color w:val="auto"/>
                    </w:rPr>
                    <w:t>工艺废气</w:t>
                  </w:r>
                </w:p>
              </w:tc>
              <w:tc>
                <w:tcPr>
                  <w:tcW w:w="1020" w:type="dxa"/>
                  <w:vAlign w:val="center"/>
                </w:tcPr>
                <w:p>
                  <w:pPr>
                    <w:pStyle w:val="68"/>
                    <w:rPr>
                      <w:color w:val="auto"/>
                    </w:rPr>
                  </w:pPr>
                  <w:r>
                    <w:rPr>
                      <w:rFonts w:hint="eastAsia"/>
                      <w:color w:val="auto"/>
                    </w:rPr>
                    <w:t>天然气锅炉</w:t>
                  </w:r>
                </w:p>
              </w:tc>
              <w:tc>
                <w:tcPr>
                  <w:tcW w:w="636" w:type="dxa"/>
                  <w:vAlign w:val="center"/>
                </w:tcPr>
                <w:p>
                  <w:pPr>
                    <w:pStyle w:val="68"/>
                    <w:rPr>
                      <w:color w:val="auto"/>
                    </w:rPr>
                  </w:pPr>
                  <w:r>
                    <w:rPr>
                      <w:rFonts w:hint="eastAsia"/>
                      <w:color w:val="auto"/>
                    </w:rPr>
                    <w:t>G1</w:t>
                  </w:r>
                </w:p>
              </w:tc>
              <w:tc>
                <w:tcPr>
                  <w:tcW w:w="1599" w:type="dxa"/>
                  <w:vAlign w:val="center"/>
                </w:tcPr>
                <w:p>
                  <w:pPr>
                    <w:pStyle w:val="68"/>
                    <w:rPr>
                      <w:color w:val="auto"/>
                    </w:rPr>
                  </w:pPr>
                  <w:r>
                    <w:rPr>
                      <w:color w:val="auto"/>
                    </w:rPr>
                    <w:t>颗粒物</w:t>
                  </w:r>
                  <w:r>
                    <w:rPr>
                      <w:rFonts w:hint="eastAsia"/>
                      <w:color w:val="auto"/>
                    </w:rPr>
                    <w:t>、SO</w:t>
                  </w:r>
                  <w:r>
                    <w:rPr>
                      <w:rFonts w:hint="eastAsia"/>
                      <w:color w:val="auto"/>
                      <w:vertAlign w:val="subscript"/>
                    </w:rPr>
                    <w:t>2</w:t>
                  </w:r>
                  <w:r>
                    <w:rPr>
                      <w:rFonts w:hint="eastAsia"/>
                      <w:color w:val="auto"/>
                    </w:rPr>
                    <w:t>、NOx</w:t>
                  </w:r>
                </w:p>
              </w:tc>
              <w:tc>
                <w:tcPr>
                  <w:tcW w:w="997" w:type="dxa"/>
                  <w:vAlign w:val="center"/>
                </w:tcPr>
                <w:p>
                  <w:pPr>
                    <w:pStyle w:val="68"/>
                    <w:rPr>
                      <w:color w:val="auto"/>
                    </w:rPr>
                  </w:pPr>
                  <w:r>
                    <w:rPr>
                      <w:rFonts w:hint="eastAsia"/>
                      <w:color w:val="auto"/>
                      <w:lang w:val="en-JM"/>
                    </w:rPr>
                    <w:t>通过</w:t>
                  </w:r>
                  <w:r>
                    <w:rPr>
                      <w:rFonts w:hint="eastAsia"/>
                      <w:color w:val="auto"/>
                    </w:rPr>
                    <w:t>15m高排气筒排放</w:t>
                  </w:r>
                </w:p>
              </w:tc>
              <w:tc>
                <w:tcPr>
                  <w:tcW w:w="1117" w:type="dxa"/>
                  <w:vAlign w:val="center"/>
                </w:tcPr>
                <w:p>
                  <w:pPr>
                    <w:pStyle w:val="68"/>
                    <w:rPr>
                      <w:color w:val="auto"/>
                      <w:lang w:val="en-JM"/>
                    </w:rPr>
                  </w:pPr>
                  <w:r>
                    <w:rPr>
                      <w:rFonts w:hint="eastAsia"/>
                      <w:color w:val="auto"/>
                      <w:lang w:val="en-JM"/>
                    </w:rPr>
                    <w:t>通过</w:t>
                  </w:r>
                  <w:r>
                    <w:rPr>
                      <w:rFonts w:hint="eastAsia"/>
                      <w:color w:val="auto"/>
                    </w:rPr>
                    <w:t>15m高排气筒排放</w:t>
                  </w:r>
                </w:p>
              </w:tc>
              <w:tc>
                <w:tcPr>
                  <w:tcW w:w="997" w:type="dxa"/>
                  <w:vAlign w:val="center"/>
                </w:tcPr>
                <w:p>
                  <w:pPr>
                    <w:pStyle w:val="68"/>
                    <w:rPr>
                      <w:color w:val="auto"/>
                    </w:rPr>
                  </w:pPr>
                  <w:r>
                    <w:rPr>
                      <w:color w:val="auto"/>
                    </w:rPr>
                    <w:t>H15米高排气筒</w:t>
                  </w:r>
                </w:p>
              </w:tc>
              <w:tc>
                <w:tcPr>
                  <w:tcW w:w="756" w:type="dxa"/>
                  <w:vAlign w:val="center"/>
                </w:tcPr>
                <w:p>
                  <w:pPr>
                    <w:pStyle w:val="68"/>
                    <w:rPr>
                      <w:color w:val="auto"/>
                    </w:rPr>
                  </w:pPr>
                  <w:r>
                    <w:rPr>
                      <w:rFonts w:hint="eastAsia"/>
                      <w:color w:val="auto"/>
                    </w:rPr>
                    <w:t>连续排放</w:t>
                  </w:r>
                </w:p>
              </w:tc>
            </w:tr>
          </w:tbl>
          <w:p>
            <w:pPr>
              <w:adjustRightInd w:val="0"/>
              <w:spacing w:before="120" w:beforeLines="50" w:line="360" w:lineRule="auto"/>
              <w:jc w:val="center"/>
              <w:textAlignment w:val="baseline"/>
              <w:rPr>
                <w:b/>
                <w:sz w:val="24"/>
              </w:rPr>
            </w:pPr>
            <w:r>
              <w:rPr>
                <w:b/>
                <w:spacing w:val="-4"/>
                <w:sz w:val="24"/>
              </w:rPr>
              <w:t>表2</w:t>
            </w:r>
            <w:r>
              <w:rPr>
                <w:rFonts w:hint="eastAsia"/>
                <w:b/>
                <w:spacing w:val="-4"/>
                <w:sz w:val="24"/>
              </w:rPr>
              <w:t>-11</w:t>
            </w:r>
            <w:r>
              <w:rPr>
                <w:b/>
                <w:spacing w:val="-4"/>
                <w:sz w:val="24"/>
              </w:rPr>
              <w:t xml:space="preserve"> </w:t>
            </w:r>
            <w:r>
              <w:rPr>
                <w:b/>
                <w:sz w:val="24"/>
              </w:rPr>
              <w:t>各排气筒验收监测结果（201</w:t>
            </w:r>
            <w:r>
              <w:rPr>
                <w:rFonts w:hint="eastAsia"/>
                <w:b/>
                <w:sz w:val="24"/>
              </w:rPr>
              <w:t>9</w:t>
            </w:r>
            <w:r>
              <w:rPr>
                <w:b/>
                <w:sz w:val="24"/>
              </w:rPr>
              <w:t>年</w:t>
            </w:r>
            <w:r>
              <w:rPr>
                <w:rFonts w:hint="eastAsia"/>
                <w:b/>
                <w:sz w:val="24"/>
              </w:rPr>
              <w:t>12月</w:t>
            </w:r>
            <w:r>
              <w:rPr>
                <w:b/>
                <w:sz w:val="24"/>
              </w:rPr>
              <w:t>）</w:t>
            </w:r>
          </w:p>
          <w:tbl>
            <w:tblPr>
              <w:tblStyle w:val="23"/>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75"/>
              <w:gridCol w:w="537"/>
              <w:gridCol w:w="650"/>
              <w:gridCol w:w="513"/>
              <w:gridCol w:w="700"/>
              <w:gridCol w:w="650"/>
              <w:gridCol w:w="662"/>
              <w:gridCol w:w="588"/>
              <w:gridCol w:w="587"/>
              <w:gridCol w:w="550"/>
              <w:gridCol w:w="538"/>
              <w:gridCol w:w="500"/>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gridSpan w:val="2"/>
                  <w:vAlign w:val="center"/>
                </w:tcPr>
                <w:p>
                  <w:pPr>
                    <w:pStyle w:val="68"/>
                    <w:rPr>
                      <w:b/>
                      <w:bCs w:val="0"/>
                      <w:color w:val="auto"/>
                    </w:rPr>
                  </w:pPr>
                  <w:r>
                    <w:rPr>
                      <w:rFonts w:hint="eastAsia"/>
                      <w:b/>
                      <w:bCs w:val="0"/>
                      <w:color w:val="auto"/>
                    </w:rPr>
                    <w:t>监测点位</w:t>
                  </w:r>
                </w:p>
              </w:tc>
              <w:tc>
                <w:tcPr>
                  <w:tcW w:w="1700" w:type="dxa"/>
                  <w:gridSpan w:val="3"/>
                  <w:vAlign w:val="center"/>
                </w:tcPr>
                <w:p>
                  <w:pPr>
                    <w:pStyle w:val="68"/>
                    <w:rPr>
                      <w:b/>
                      <w:bCs w:val="0"/>
                      <w:color w:val="auto"/>
                    </w:rPr>
                  </w:pPr>
                  <w:r>
                    <w:rPr>
                      <w:rFonts w:hint="eastAsia"/>
                      <w:b/>
                      <w:bCs w:val="0"/>
                      <w:color w:val="auto"/>
                    </w:rPr>
                    <w:t>天然气燃烧废气排气筒出口A1</w:t>
                  </w:r>
                </w:p>
              </w:tc>
              <w:tc>
                <w:tcPr>
                  <w:tcW w:w="5370" w:type="dxa"/>
                  <w:gridSpan w:val="9"/>
                  <w:vAlign w:val="center"/>
                </w:tcPr>
                <w:p>
                  <w:pPr>
                    <w:pStyle w:val="68"/>
                    <w:rPr>
                      <w:b/>
                      <w:bCs w:val="0"/>
                      <w:color w:val="auto"/>
                    </w:rPr>
                  </w:pPr>
                  <w:r>
                    <w:rPr>
                      <w:rFonts w:hint="eastAsia"/>
                      <w:b/>
                      <w:bCs w:val="0"/>
                      <w:color w:val="auto"/>
                    </w:rPr>
                    <w:t>排气筒高度15m、烟道内径0.5m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gridSpan w:val="2"/>
                  <w:vAlign w:val="center"/>
                </w:tcPr>
                <w:p>
                  <w:pPr>
                    <w:pStyle w:val="68"/>
                    <w:rPr>
                      <w:b/>
                      <w:bCs w:val="0"/>
                      <w:color w:val="auto"/>
                    </w:rPr>
                  </w:pPr>
                  <w:r>
                    <w:rPr>
                      <w:rFonts w:hint="eastAsia"/>
                      <w:b/>
                      <w:bCs w:val="0"/>
                      <w:color w:val="auto"/>
                    </w:rPr>
                    <w:t>工况说明</w:t>
                  </w:r>
                </w:p>
              </w:tc>
              <w:tc>
                <w:tcPr>
                  <w:tcW w:w="1700" w:type="dxa"/>
                  <w:gridSpan w:val="3"/>
                  <w:vAlign w:val="center"/>
                </w:tcPr>
                <w:p>
                  <w:pPr>
                    <w:pStyle w:val="68"/>
                    <w:rPr>
                      <w:b/>
                      <w:bCs w:val="0"/>
                      <w:color w:val="auto"/>
                    </w:rPr>
                  </w:pPr>
                  <w:r>
                    <w:rPr>
                      <w:rFonts w:hint="eastAsia"/>
                      <w:b/>
                      <w:bCs w:val="0"/>
                      <w:color w:val="auto"/>
                    </w:rPr>
                    <w:t>设备正常运行，生产符合达75%</w:t>
                  </w:r>
                </w:p>
              </w:tc>
              <w:tc>
                <w:tcPr>
                  <w:tcW w:w="5370" w:type="dxa"/>
                  <w:gridSpan w:val="9"/>
                  <w:vAlign w:val="center"/>
                </w:tcPr>
                <w:p>
                  <w:pPr>
                    <w:pStyle w:val="68"/>
                    <w:rPr>
                      <w:b/>
                      <w:bCs w:val="0"/>
                      <w:color w:val="auto"/>
                    </w:rPr>
                  </w:pPr>
                  <w:r>
                    <w:rPr>
                      <w:rFonts w:hint="eastAsia"/>
                      <w:b/>
                      <w:bCs w:val="0"/>
                      <w:color w:val="auto"/>
                    </w:rPr>
                    <w:t>净化方式：无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75" w:type="dxa"/>
                  <w:vMerge w:val="restart"/>
                  <w:vAlign w:val="center"/>
                </w:tcPr>
                <w:p>
                  <w:pPr>
                    <w:pStyle w:val="68"/>
                    <w:rPr>
                      <w:b/>
                      <w:bCs w:val="0"/>
                      <w:color w:val="auto"/>
                    </w:rPr>
                  </w:pPr>
                  <w:r>
                    <w:rPr>
                      <w:rFonts w:hint="eastAsia"/>
                      <w:b/>
                      <w:bCs w:val="0"/>
                      <w:color w:val="auto"/>
                    </w:rPr>
                    <w:t>采样日期</w:t>
                  </w:r>
                </w:p>
              </w:tc>
              <w:tc>
                <w:tcPr>
                  <w:tcW w:w="475" w:type="dxa"/>
                  <w:vMerge w:val="restart"/>
                  <w:vAlign w:val="center"/>
                </w:tcPr>
                <w:p>
                  <w:pPr>
                    <w:pStyle w:val="68"/>
                    <w:rPr>
                      <w:b/>
                      <w:bCs w:val="0"/>
                      <w:color w:val="auto"/>
                    </w:rPr>
                  </w:pPr>
                  <w:r>
                    <w:rPr>
                      <w:rFonts w:hint="eastAsia"/>
                      <w:b/>
                      <w:bCs w:val="0"/>
                      <w:color w:val="auto"/>
                    </w:rPr>
                    <w:t>监测次数</w:t>
                  </w:r>
                </w:p>
              </w:tc>
              <w:tc>
                <w:tcPr>
                  <w:tcW w:w="537" w:type="dxa"/>
                  <w:vMerge w:val="restart"/>
                  <w:vAlign w:val="center"/>
                </w:tcPr>
                <w:p>
                  <w:pPr>
                    <w:pStyle w:val="68"/>
                    <w:rPr>
                      <w:b/>
                      <w:bCs w:val="0"/>
                      <w:color w:val="auto"/>
                    </w:rPr>
                  </w:pPr>
                  <w:r>
                    <w:rPr>
                      <w:rFonts w:hint="eastAsia"/>
                      <w:b/>
                      <w:bCs w:val="0"/>
                      <w:color w:val="auto"/>
                    </w:rPr>
                    <w:t>烟气温度（℃）</w:t>
                  </w:r>
                </w:p>
              </w:tc>
              <w:tc>
                <w:tcPr>
                  <w:tcW w:w="650" w:type="dxa"/>
                  <w:vMerge w:val="restart"/>
                  <w:vAlign w:val="center"/>
                </w:tcPr>
                <w:p>
                  <w:pPr>
                    <w:pStyle w:val="68"/>
                    <w:rPr>
                      <w:b/>
                      <w:bCs w:val="0"/>
                      <w:color w:val="auto"/>
                    </w:rPr>
                  </w:pPr>
                  <w:r>
                    <w:rPr>
                      <w:rFonts w:hint="eastAsia"/>
                      <w:b/>
                      <w:bCs w:val="0"/>
                      <w:color w:val="auto"/>
                    </w:rPr>
                    <w:t>标杆流量（Nm</w:t>
                  </w:r>
                  <w:r>
                    <w:rPr>
                      <w:rFonts w:hint="eastAsia"/>
                      <w:b/>
                      <w:bCs w:val="0"/>
                      <w:color w:val="auto"/>
                      <w:vertAlign w:val="superscript"/>
                    </w:rPr>
                    <w:t>3</w:t>
                  </w:r>
                  <w:r>
                    <w:rPr>
                      <w:rFonts w:hint="eastAsia"/>
                      <w:b/>
                      <w:bCs w:val="0"/>
                      <w:color w:val="auto"/>
                    </w:rPr>
                    <w:t>/h）</w:t>
                  </w:r>
                </w:p>
              </w:tc>
              <w:tc>
                <w:tcPr>
                  <w:tcW w:w="513" w:type="dxa"/>
                  <w:vMerge w:val="restart"/>
                  <w:vAlign w:val="center"/>
                </w:tcPr>
                <w:p>
                  <w:pPr>
                    <w:pStyle w:val="68"/>
                    <w:rPr>
                      <w:b/>
                      <w:bCs w:val="0"/>
                      <w:color w:val="auto"/>
                    </w:rPr>
                  </w:pPr>
                  <w:r>
                    <w:rPr>
                      <w:rFonts w:hint="eastAsia"/>
                      <w:b/>
                      <w:bCs w:val="0"/>
                      <w:color w:val="auto"/>
                    </w:rPr>
                    <w:t>含氧量（%）</w:t>
                  </w:r>
                </w:p>
              </w:tc>
              <w:tc>
                <w:tcPr>
                  <w:tcW w:w="2012" w:type="dxa"/>
                  <w:gridSpan w:val="3"/>
                  <w:vAlign w:val="center"/>
                </w:tcPr>
                <w:p>
                  <w:pPr>
                    <w:pStyle w:val="68"/>
                    <w:rPr>
                      <w:b/>
                      <w:bCs w:val="0"/>
                      <w:color w:val="auto"/>
                    </w:rPr>
                  </w:pPr>
                  <w:r>
                    <w:rPr>
                      <w:rFonts w:hint="eastAsia"/>
                      <w:b/>
                      <w:bCs w:val="0"/>
                      <w:color w:val="auto"/>
                    </w:rPr>
                    <w:t>颗粒物</w:t>
                  </w:r>
                </w:p>
              </w:tc>
              <w:tc>
                <w:tcPr>
                  <w:tcW w:w="1725" w:type="dxa"/>
                  <w:gridSpan w:val="3"/>
                  <w:vAlign w:val="center"/>
                </w:tcPr>
                <w:p>
                  <w:pPr>
                    <w:pStyle w:val="68"/>
                    <w:rPr>
                      <w:b/>
                      <w:bCs w:val="0"/>
                      <w:color w:val="auto"/>
                    </w:rPr>
                  </w:pPr>
                  <w:r>
                    <w:rPr>
                      <w:rFonts w:hint="eastAsia"/>
                      <w:b/>
                      <w:bCs w:val="0"/>
                      <w:color w:val="auto"/>
                    </w:rPr>
                    <w:t>SO</w:t>
                  </w:r>
                  <w:r>
                    <w:rPr>
                      <w:rFonts w:hint="eastAsia"/>
                      <w:b/>
                      <w:bCs w:val="0"/>
                      <w:color w:val="auto"/>
                      <w:vertAlign w:val="subscript"/>
                    </w:rPr>
                    <w:t>2</w:t>
                  </w:r>
                </w:p>
              </w:tc>
              <w:tc>
                <w:tcPr>
                  <w:tcW w:w="1633" w:type="dxa"/>
                  <w:gridSpan w:val="3"/>
                  <w:vAlign w:val="center"/>
                </w:tcPr>
                <w:p>
                  <w:pPr>
                    <w:pStyle w:val="68"/>
                    <w:rPr>
                      <w:b/>
                      <w:bCs w:val="0"/>
                      <w:color w:val="auto"/>
                    </w:rPr>
                  </w:pPr>
                  <w:r>
                    <w:rPr>
                      <w:rFonts w:hint="eastAsia"/>
                      <w:b/>
                      <w:bCs w:val="0"/>
                      <w:color w:val="auto"/>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pStyle w:val="68"/>
                    <w:rPr>
                      <w:b/>
                      <w:bCs w:val="0"/>
                      <w:color w:val="auto"/>
                    </w:rPr>
                  </w:pPr>
                </w:p>
              </w:tc>
              <w:tc>
                <w:tcPr>
                  <w:tcW w:w="475" w:type="dxa"/>
                  <w:vMerge w:val="continue"/>
                  <w:vAlign w:val="center"/>
                </w:tcPr>
                <w:p>
                  <w:pPr>
                    <w:pStyle w:val="68"/>
                    <w:rPr>
                      <w:b/>
                      <w:bCs w:val="0"/>
                      <w:color w:val="auto"/>
                    </w:rPr>
                  </w:pPr>
                </w:p>
              </w:tc>
              <w:tc>
                <w:tcPr>
                  <w:tcW w:w="537" w:type="dxa"/>
                  <w:vMerge w:val="continue"/>
                  <w:vAlign w:val="center"/>
                </w:tcPr>
                <w:p>
                  <w:pPr>
                    <w:pStyle w:val="68"/>
                    <w:rPr>
                      <w:b/>
                      <w:bCs w:val="0"/>
                      <w:color w:val="auto"/>
                    </w:rPr>
                  </w:pPr>
                </w:p>
              </w:tc>
              <w:tc>
                <w:tcPr>
                  <w:tcW w:w="650" w:type="dxa"/>
                  <w:vMerge w:val="continue"/>
                  <w:vAlign w:val="center"/>
                </w:tcPr>
                <w:p>
                  <w:pPr>
                    <w:pStyle w:val="68"/>
                    <w:rPr>
                      <w:b/>
                      <w:bCs w:val="0"/>
                      <w:color w:val="auto"/>
                    </w:rPr>
                  </w:pPr>
                </w:p>
              </w:tc>
              <w:tc>
                <w:tcPr>
                  <w:tcW w:w="513" w:type="dxa"/>
                  <w:vMerge w:val="continue"/>
                  <w:vAlign w:val="center"/>
                </w:tcPr>
                <w:p>
                  <w:pPr>
                    <w:pStyle w:val="68"/>
                    <w:rPr>
                      <w:b/>
                      <w:bCs w:val="0"/>
                      <w:color w:val="auto"/>
                    </w:rPr>
                  </w:pPr>
                </w:p>
              </w:tc>
              <w:tc>
                <w:tcPr>
                  <w:tcW w:w="700" w:type="dxa"/>
                  <w:vAlign w:val="center"/>
                </w:tcPr>
                <w:p>
                  <w:pPr>
                    <w:pStyle w:val="68"/>
                    <w:rPr>
                      <w:b/>
                      <w:bCs w:val="0"/>
                      <w:color w:val="auto"/>
                    </w:rPr>
                  </w:pPr>
                  <w:r>
                    <w:rPr>
                      <w:rFonts w:hint="eastAsia"/>
                      <w:b/>
                      <w:bCs w:val="0"/>
                      <w:color w:val="auto"/>
                    </w:rPr>
                    <w:t>排放浓度mg/m</w:t>
                  </w:r>
                  <w:r>
                    <w:rPr>
                      <w:rFonts w:hint="eastAsia"/>
                      <w:b/>
                      <w:bCs w:val="0"/>
                      <w:color w:val="auto"/>
                      <w:vertAlign w:val="superscript"/>
                    </w:rPr>
                    <w:t>3</w:t>
                  </w:r>
                </w:p>
              </w:tc>
              <w:tc>
                <w:tcPr>
                  <w:tcW w:w="650" w:type="dxa"/>
                  <w:vAlign w:val="center"/>
                </w:tcPr>
                <w:p>
                  <w:pPr>
                    <w:pStyle w:val="68"/>
                    <w:rPr>
                      <w:b/>
                      <w:bCs w:val="0"/>
                      <w:color w:val="auto"/>
                    </w:rPr>
                  </w:pPr>
                  <w:r>
                    <w:rPr>
                      <w:rFonts w:hint="eastAsia"/>
                      <w:b/>
                      <w:bCs w:val="0"/>
                      <w:color w:val="auto"/>
                    </w:rPr>
                    <w:t>折算浓度mg/m</w:t>
                  </w:r>
                  <w:r>
                    <w:rPr>
                      <w:rFonts w:hint="eastAsia"/>
                      <w:b/>
                      <w:bCs w:val="0"/>
                      <w:color w:val="auto"/>
                      <w:vertAlign w:val="superscript"/>
                    </w:rPr>
                    <w:t>3</w:t>
                  </w:r>
                </w:p>
              </w:tc>
              <w:tc>
                <w:tcPr>
                  <w:tcW w:w="662" w:type="dxa"/>
                  <w:vAlign w:val="center"/>
                </w:tcPr>
                <w:p>
                  <w:pPr>
                    <w:pStyle w:val="68"/>
                    <w:rPr>
                      <w:b/>
                      <w:bCs w:val="0"/>
                      <w:color w:val="auto"/>
                    </w:rPr>
                  </w:pPr>
                  <w:r>
                    <w:rPr>
                      <w:rFonts w:hint="eastAsia"/>
                      <w:b/>
                      <w:bCs w:val="0"/>
                      <w:color w:val="auto"/>
                    </w:rPr>
                    <w:t>排放速率kg/h</w:t>
                  </w:r>
                </w:p>
              </w:tc>
              <w:tc>
                <w:tcPr>
                  <w:tcW w:w="588" w:type="dxa"/>
                  <w:vAlign w:val="center"/>
                </w:tcPr>
                <w:p>
                  <w:pPr>
                    <w:pStyle w:val="68"/>
                    <w:rPr>
                      <w:b/>
                      <w:bCs w:val="0"/>
                      <w:color w:val="auto"/>
                    </w:rPr>
                  </w:pPr>
                  <w:r>
                    <w:rPr>
                      <w:rFonts w:hint="eastAsia"/>
                      <w:b/>
                      <w:bCs w:val="0"/>
                      <w:color w:val="auto"/>
                    </w:rPr>
                    <w:t>排放浓度mg/m</w:t>
                  </w:r>
                  <w:r>
                    <w:rPr>
                      <w:rFonts w:hint="eastAsia"/>
                      <w:b/>
                      <w:bCs w:val="0"/>
                      <w:color w:val="auto"/>
                      <w:vertAlign w:val="superscript"/>
                    </w:rPr>
                    <w:t>3</w:t>
                  </w:r>
                </w:p>
              </w:tc>
              <w:tc>
                <w:tcPr>
                  <w:tcW w:w="587" w:type="dxa"/>
                  <w:vAlign w:val="center"/>
                </w:tcPr>
                <w:p>
                  <w:pPr>
                    <w:pStyle w:val="68"/>
                    <w:rPr>
                      <w:b/>
                      <w:bCs w:val="0"/>
                      <w:color w:val="auto"/>
                    </w:rPr>
                  </w:pPr>
                  <w:r>
                    <w:rPr>
                      <w:rFonts w:hint="eastAsia"/>
                      <w:b/>
                      <w:bCs w:val="0"/>
                      <w:color w:val="auto"/>
                    </w:rPr>
                    <w:t>折算浓度mg/m</w:t>
                  </w:r>
                  <w:r>
                    <w:rPr>
                      <w:rFonts w:hint="eastAsia"/>
                      <w:b/>
                      <w:bCs w:val="0"/>
                      <w:color w:val="auto"/>
                      <w:vertAlign w:val="superscript"/>
                    </w:rPr>
                    <w:t>3</w:t>
                  </w:r>
                </w:p>
              </w:tc>
              <w:tc>
                <w:tcPr>
                  <w:tcW w:w="550" w:type="dxa"/>
                  <w:vAlign w:val="center"/>
                </w:tcPr>
                <w:p>
                  <w:pPr>
                    <w:pStyle w:val="68"/>
                    <w:rPr>
                      <w:b/>
                      <w:bCs w:val="0"/>
                      <w:color w:val="auto"/>
                    </w:rPr>
                  </w:pPr>
                  <w:r>
                    <w:rPr>
                      <w:rFonts w:hint="eastAsia"/>
                      <w:b/>
                      <w:bCs w:val="0"/>
                      <w:color w:val="auto"/>
                    </w:rPr>
                    <w:t>排放速率kg/h</w:t>
                  </w:r>
                </w:p>
              </w:tc>
              <w:tc>
                <w:tcPr>
                  <w:tcW w:w="538" w:type="dxa"/>
                  <w:vAlign w:val="center"/>
                </w:tcPr>
                <w:p>
                  <w:pPr>
                    <w:pStyle w:val="68"/>
                    <w:rPr>
                      <w:b/>
                      <w:bCs w:val="0"/>
                      <w:color w:val="auto"/>
                    </w:rPr>
                  </w:pPr>
                  <w:r>
                    <w:rPr>
                      <w:rFonts w:hint="eastAsia"/>
                      <w:b/>
                      <w:bCs w:val="0"/>
                      <w:color w:val="auto"/>
                    </w:rPr>
                    <w:t>排放浓度mg/m</w:t>
                  </w:r>
                  <w:r>
                    <w:rPr>
                      <w:rFonts w:hint="eastAsia"/>
                      <w:b/>
                      <w:bCs w:val="0"/>
                      <w:color w:val="auto"/>
                      <w:vertAlign w:val="superscript"/>
                    </w:rPr>
                    <w:t>3</w:t>
                  </w:r>
                </w:p>
              </w:tc>
              <w:tc>
                <w:tcPr>
                  <w:tcW w:w="500" w:type="dxa"/>
                  <w:vAlign w:val="center"/>
                </w:tcPr>
                <w:p>
                  <w:pPr>
                    <w:pStyle w:val="68"/>
                    <w:rPr>
                      <w:b/>
                      <w:bCs w:val="0"/>
                      <w:color w:val="auto"/>
                    </w:rPr>
                  </w:pPr>
                  <w:r>
                    <w:rPr>
                      <w:rFonts w:hint="eastAsia"/>
                      <w:b/>
                      <w:bCs w:val="0"/>
                      <w:color w:val="auto"/>
                    </w:rPr>
                    <w:t>折算浓度mg/m</w:t>
                  </w:r>
                  <w:r>
                    <w:rPr>
                      <w:rFonts w:hint="eastAsia"/>
                      <w:b/>
                      <w:bCs w:val="0"/>
                      <w:color w:val="auto"/>
                      <w:vertAlign w:val="superscript"/>
                    </w:rPr>
                    <w:t>3</w:t>
                  </w:r>
                </w:p>
              </w:tc>
              <w:tc>
                <w:tcPr>
                  <w:tcW w:w="595" w:type="dxa"/>
                  <w:vAlign w:val="center"/>
                </w:tcPr>
                <w:p>
                  <w:pPr>
                    <w:pStyle w:val="68"/>
                    <w:rPr>
                      <w:b/>
                      <w:bCs w:val="0"/>
                      <w:color w:val="auto"/>
                    </w:rPr>
                  </w:pPr>
                  <w:r>
                    <w:rPr>
                      <w:rFonts w:hint="eastAsia"/>
                      <w:b/>
                      <w:bCs w:val="0"/>
                      <w:color w:val="auto"/>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75" w:type="dxa"/>
                  <w:vMerge w:val="restart"/>
                  <w:vAlign w:val="center"/>
                </w:tcPr>
                <w:p>
                  <w:pPr>
                    <w:pStyle w:val="68"/>
                    <w:rPr>
                      <w:color w:val="auto"/>
                    </w:rPr>
                  </w:pPr>
                  <w:r>
                    <w:rPr>
                      <w:rFonts w:hint="eastAsia"/>
                      <w:color w:val="auto"/>
                    </w:rPr>
                    <w:t>2019.12.03处理设施出口（A1）</w:t>
                  </w:r>
                </w:p>
              </w:tc>
              <w:tc>
                <w:tcPr>
                  <w:tcW w:w="475" w:type="dxa"/>
                  <w:vAlign w:val="center"/>
                </w:tcPr>
                <w:p>
                  <w:pPr>
                    <w:pStyle w:val="68"/>
                    <w:rPr>
                      <w:color w:val="auto"/>
                    </w:rPr>
                  </w:pPr>
                  <w:r>
                    <w:rPr>
                      <w:rFonts w:hint="eastAsia"/>
                      <w:color w:val="auto"/>
                    </w:rPr>
                    <w:t>1</w:t>
                  </w:r>
                </w:p>
              </w:tc>
              <w:tc>
                <w:tcPr>
                  <w:tcW w:w="537" w:type="dxa"/>
                  <w:vAlign w:val="center"/>
                </w:tcPr>
                <w:p>
                  <w:pPr>
                    <w:pStyle w:val="68"/>
                    <w:rPr>
                      <w:color w:val="auto"/>
                    </w:rPr>
                  </w:pPr>
                  <w:r>
                    <w:rPr>
                      <w:rFonts w:hint="eastAsia"/>
                      <w:color w:val="auto"/>
                    </w:rPr>
                    <w:t>45.8</w:t>
                  </w:r>
                </w:p>
              </w:tc>
              <w:tc>
                <w:tcPr>
                  <w:tcW w:w="650" w:type="dxa"/>
                  <w:vAlign w:val="center"/>
                </w:tcPr>
                <w:p>
                  <w:pPr>
                    <w:pStyle w:val="68"/>
                    <w:rPr>
                      <w:color w:val="auto"/>
                    </w:rPr>
                  </w:pPr>
                  <w:r>
                    <w:rPr>
                      <w:rFonts w:hint="eastAsia"/>
                      <w:color w:val="auto"/>
                    </w:rPr>
                    <w:t>4901</w:t>
                  </w:r>
                </w:p>
              </w:tc>
              <w:tc>
                <w:tcPr>
                  <w:tcW w:w="513" w:type="dxa"/>
                  <w:vAlign w:val="center"/>
                </w:tcPr>
                <w:p>
                  <w:pPr>
                    <w:pStyle w:val="68"/>
                    <w:rPr>
                      <w:color w:val="auto"/>
                    </w:rPr>
                  </w:pPr>
                  <w:r>
                    <w:rPr>
                      <w:rFonts w:hint="eastAsia"/>
                      <w:color w:val="auto"/>
                    </w:rPr>
                    <w:t>4.5</w:t>
                  </w:r>
                </w:p>
              </w:tc>
              <w:tc>
                <w:tcPr>
                  <w:tcW w:w="700" w:type="dxa"/>
                  <w:vAlign w:val="center"/>
                </w:tcPr>
                <w:p>
                  <w:pPr>
                    <w:pStyle w:val="68"/>
                    <w:rPr>
                      <w:color w:val="auto"/>
                    </w:rPr>
                  </w:pPr>
                  <w:r>
                    <w:rPr>
                      <w:rFonts w:hint="eastAsia"/>
                      <w:color w:val="auto"/>
                    </w:rPr>
                    <w:t>＜20</w:t>
                  </w:r>
                </w:p>
              </w:tc>
              <w:tc>
                <w:tcPr>
                  <w:tcW w:w="650" w:type="dxa"/>
                  <w:vAlign w:val="center"/>
                </w:tcPr>
                <w:p>
                  <w:pPr>
                    <w:pStyle w:val="68"/>
                    <w:rPr>
                      <w:color w:val="auto"/>
                    </w:rPr>
                  </w:pPr>
                  <w:r>
                    <w:rPr>
                      <w:rFonts w:hint="eastAsia"/>
                      <w:color w:val="auto"/>
                    </w:rPr>
                    <w:t>-</w:t>
                  </w:r>
                </w:p>
              </w:tc>
              <w:tc>
                <w:tcPr>
                  <w:tcW w:w="662" w:type="dxa"/>
                  <w:vAlign w:val="center"/>
                </w:tcPr>
                <w:p>
                  <w:pPr>
                    <w:pStyle w:val="68"/>
                    <w:rPr>
                      <w:color w:val="auto"/>
                    </w:rPr>
                  </w:pPr>
                  <w:r>
                    <w:rPr>
                      <w:rFonts w:hint="eastAsia"/>
                      <w:color w:val="auto"/>
                    </w:rPr>
                    <w:t>0.098</w:t>
                  </w:r>
                </w:p>
              </w:tc>
              <w:tc>
                <w:tcPr>
                  <w:tcW w:w="588" w:type="dxa"/>
                  <w:vAlign w:val="center"/>
                </w:tcPr>
                <w:p>
                  <w:pPr>
                    <w:pStyle w:val="68"/>
                    <w:rPr>
                      <w:color w:val="auto"/>
                    </w:rPr>
                  </w:pPr>
                  <w:r>
                    <w:rPr>
                      <w:rFonts w:hint="eastAsia"/>
                      <w:color w:val="auto"/>
                    </w:rPr>
                    <w:t>9</w:t>
                  </w:r>
                </w:p>
              </w:tc>
              <w:tc>
                <w:tcPr>
                  <w:tcW w:w="587" w:type="dxa"/>
                  <w:vAlign w:val="center"/>
                </w:tcPr>
                <w:p>
                  <w:pPr>
                    <w:pStyle w:val="68"/>
                    <w:rPr>
                      <w:color w:val="auto"/>
                    </w:rPr>
                  </w:pPr>
                  <w:r>
                    <w:rPr>
                      <w:rFonts w:hint="eastAsia"/>
                      <w:color w:val="auto"/>
                    </w:rPr>
                    <w:t>10</w:t>
                  </w:r>
                </w:p>
              </w:tc>
              <w:tc>
                <w:tcPr>
                  <w:tcW w:w="550" w:type="dxa"/>
                  <w:vAlign w:val="center"/>
                </w:tcPr>
                <w:p>
                  <w:pPr>
                    <w:pStyle w:val="68"/>
                    <w:rPr>
                      <w:color w:val="auto"/>
                    </w:rPr>
                  </w:pPr>
                  <w:r>
                    <w:rPr>
                      <w:rFonts w:hint="eastAsia"/>
                      <w:color w:val="auto"/>
                    </w:rPr>
                    <w:t>0.044</w:t>
                  </w:r>
                </w:p>
              </w:tc>
              <w:tc>
                <w:tcPr>
                  <w:tcW w:w="538" w:type="dxa"/>
                  <w:vAlign w:val="center"/>
                </w:tcPr>
                <w:p>
                  <w:pPr>
                    <w:pStyle w:val="68"/>
                    <w:rPr>
                      <w:color w:val="auto"/>
                    </w:rPr>
                  </w:pPr>
                  <w:r>
                    <w:rPr>
                      <w:rFonts w:hint="eastAsia"/>
                      <w:color w:val="auto"/>
                    </w:rPr>
                    <w:t>82</w:t>
                  </w:r>
                </w:p>
              </w:tc>
              <w:tc>
                <w:tcPr>
                  <w:tcW w:w="500" w:type="dxa"/>
                  <w:vAlign w:val="center"/>
                </w:tcPr>
                <w:p>
                  <w:pPr>
                    <w:pStyle w:val="68"/>
                    <w:rPr>
                      <w:color w:val="auto"/>
                    </w:rPr>
                  </w:pPr>
                  <w:r>
                    <w:rPr>
                      <w:rFonts w:hint="eastAsia"/>
                      <w:color w:val="auto"/>
                    </w:rPr>
                    <w:t>87</w:t>
                  </w:r>
                </w:p>
              </w:tc>
              <w:tc>
                <w:tcPr>
                  <w:tcW w:w="595" w:type="dxa"/>
                  <w:vAlign w:val="center"/>
                </w:tcPr>
                <w:p>
                  <w:pPr>
                    <w:pStyle w:val="68"/>
                    <w:rPr>
                      <w:color w:val="auto"/>
                    </w:rPr>
                  </w:pPr>
                  <w:r>
                    <w:rPr>
                      <w:rFonts w:hint="eastAsia"/>
                      <w:color w:val="auto"/>
                    </w:rPr>
                    <w:t>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5" w:type="dxa"/>
                  <w:vMerge w:val="continue"/>
                  <w:vAlign w:val="center"/>
                </w:tcPr>
                <w:p>
                  <w:pPr>
                    <w:pStyle w:val="68"/>
                    <w:rPr>
                      <w:color w:val="auto"/>
                    </w:rPr>
                  </w:pPr>
                </w:p>
              </w:tc>
              <w:tc>
                <w:tcPr>
                  <w:tcW w:w="475" w:type="dxa"/>
                  <w:vAlign w:val="center"/>
                </w:tcPr>
                <w:p>
                  <w:pPr>
                    <w:pStyle w:val="68"/>
                    <w:rPr>
                      <w:color w:val="auto"/>
                    </w:rPr>
                  </w:pPr>
                  <w:r>
                    <w:rPr>
                      <w:rFonts w:hint="eastAsia"/>
                      <w:color w:val="auto"/>
                    </w:rPr>
                    <w:t>2</w:t>
                  </w:r>
                </w:p>
              </w:tc>
              <w:tc>
                <w:tcPr>
                  <w:tcW w:w="537" w:type="dxa"/>
                  <w:vAlign w:val="center"/>
                </w:tcPr>
                <w:p>
                  <w:pPr>
                    <w:pStyle w:val="68"/>
                    <w:rPr>
                      <w:color w:val="auto"/>
                    </w:rPr>
                  </w:pPr>
                  <w:r>
                    <w:rPr>
                      <w:rFonts w:hint="eastAsia"/>
                      <w:color w:val="auto"/>
                    </w:rPr>
                    <w:t>46.1</w:t>
                  </w:r>
                </w:p>
              </w:tc>
              <w:tc>
                <w:tcPr>
                  <w:tcW w:w="650" w:type="dxa"/>
                  <w:vAlign w:val="center"/>
                </w:tcPr>
                <w:p>
                  <w:pPr>
                    <w:pStyle w:val="68"/>
                    <w:rPr>
                      <w:color w:val="auto"/>
                    </w:rPr>
                  </w:pPr>
                  <w:r>
                    <w:rPr>
                      <w:rFonts w:hint="eastAsia"/>
                      <w:color w:val="auto"/>
                    </w:rPr>
                    <w:t>4351</w:t>
                  </w:r>
                </w:p>
              </w:tc>
              <w:tc>
                <w:tcPr>
                  <w:tcW w:w="513" w:type="dxa"/>
                  <w:vAlign w:val="center"/>
                </w:tcPr>
                <w:p>
                  <w:pPr>
                    <w:pStyle w:val="68"/>
                    <w:rPr>
                      <w:color w:val="auto"/>
                    </w:rPr>
                  </w:pPr>
                  <w:r>
                    <w:rPr>
                      <w:rFonts w:hint="eastAsia"/>
                      <w:color w:val="auto"/>
                    </w:rPr>
                    <w:t>4.6</w:t>
                  </w:r>
                </w:p>
              </w:tc>
              <w:tc>
                <w:tcPr>
                  <w:tcW w:w="700" w:type="dxa"/>
                  <w:vAlign w:val="center"/>
                </w:tcPr>
                <w:p>
                  <w:pPr>
                    <w:rPr>
                      <w:szCs w:val="21"/>
                    </w:rPr>
                  </w:pPr>
                  <w:r>
                    <w:rPr>
                      <w:rFonts w:hint="eastAsia"/>
                      <w:szCs w:val="21"/>
                    </w:rPr>
                    <w:t>＜20</w:t>
                  </w:r>
                </w:p>
              </w:tc>
              <w:tc>
                <w:tcPr>
                  <w:tcW w:w="650" w:type="dxa"/>
                  <w:vAlign w:val="center"/>
                </w:tcPr>
                <w:p>
                  <w:pPr>
                    <w:pStyle w:val="68"/>
                    <w:rPr>
                      <w:color w:val="auto"/>
                    </w:rPr>
                  </w:pPr>
                  <w:r>
                    <w:rPr>
                      <w:rFonts w:hint="eastAsia"/>
                      <w:color w:val="auto"/>
                    </w:rPr>
                    <w:t>-</w:t>
                  </w:r>
                </w:p>
              </w:tc>
              <w:tc>
                <w:tcPr>
                  <w:tcW w:w="662" w:type="dxa"/>
                  <w:vAlign w:val="center"/>
                </w:tcPr>
                <w:p>
                  <w:pPr>
                    <w:pStyle w:val="68"/>
                    <w:rPr>
                      <w:color w:val="auto"/>
                    </w:rPr>
                  </w:pPr>
                  <w:r>
                    <w:rPr>
                      <w:rFonts w:hint="eastAsia"/>
                      <w:color w:val="auto"/>
                    </w:rPr>
                    <w:t>0.087</w:t>
                  </w:r>
                </w:p>
              </w:tc>
              <w:tc>
                <w:tcPr>
                  <w:tcW w:w="588" w:type="dxa"/>
                  <w:vAlign w:val="center"/>
                </w:tcPr>
                <w:p>
                  <w:pPr>
                    <w:pStyle w:val="68"/>
                    <w:rPr>
                      <w:color w:val="auto"/>
                    </w:rPr>
                  </w:pPr>
                  <w:r>
                    <w:rPr>
                      <w:rFonts w:hint="eastAsia"/>
                      <w:color w:val="auto"/>
                    </w:rPr>
                    <w:t>8</w:t>
                  </w:r>
                </w:p>
              </w:tc>
              <w:tc>
                <w:tcPr>
                  <w:tcW w:w="587" w:type="dxa"/>
                  <w:vAlign w:val="center"/>
                </w:tcPr>
                <w:p>
                  <w:pPr>
                    <w:pStyle w:val="68"/>
                    <w:rPr>
                      <w:color w:val="auto"/>
                    </w:rPr>
                  </w:pPr>
                  <w:r>
                    <w:rPr>
                      <w:rFonts w:hint="eastAsia"/>
                      <w:color w:val="auto"/>
                    </w:rPr>
                    <w:t>9</w:t>
                  </w:r>
                </w:p>
              </w:tc>
              <w:tc>
                <w:tcPr>
                  <w:tcW w:w="550" w:type="dxa"/>
                  <w:vAlign w:val="center"/>
                </w:tcPr>
                <w:p>
                  <w:pPr>
                    <w:pStyle w:val="68"/>
                    <w:rPr>
                      <w:color w:val="auto"/>
                    </w:rPr>
                  </w:pPr>
                  <w:r>
                    <w:rPr>
                      <w:rFonts w:hint="eastAsia"/>
                      <w:color w:val="auto"/>
                    </w:rPr>
                    <w:t>0.035</w:t>
                  </w:r>
                </w:p>
              </w:tc>
              <w:tc>
                <w:tcPr>
                  <w:tcW w:w="538" w:type="dxa"/>
                  <w:vAlign w:val="center"/>
                </w:tcPr>
                <w:p>
                  <w:pPr>
                    <w:pStyle w:val="68"/>
                    <w:rPr>
                      <w:color w:val="auto"/>
                    </w:rPr>
                  </w:pPr>
                  <w:r>
                    <w:rPr>
                      <w:rFonts w:hint="eastAsia"/>
                      <w:color w:val="auto"/>
                    </w:rPr>
                    <w:t>78</w:t>
                  </w:r>
                </w:p>
              </w:tc>
              <w:tc>
                <w:tcPr>
                  <w:tcW w:w="500" w:type="dxa"/>
                  <w:vAlign w:val="center"/>
                </w:tcPr>
                <w:p>
                  <w:pPr>
                    <w:pStyle w:val="68"/>
                    <w:rPr>
                      <w:color w:val="auto"/>
                    </w:rPr>
                  </w:pPr>
                  <w:r>
                    <w:rPr>
                      <w:rFonts w:hint="eastAsia"/>
                      <w:color w:val="auto"/>
                    </w:rPr>
                    <w:t>83</w:t>
                  </w:r>
                </w:p>
              </w:tc>
              <w:tc>
                <w:tcPr>
                  <w:tcW w:w="595" w:type="dxa"/>
                  <w:vAlign w:val="center"/>
                </w:tcPr>
                <w:p>
                  <w:pPr>
                    <w:pStyle w:val="68"/>
                    <w:rPr>
                      <w:color w:val="auto"/>
                    </w:rPr>
                  </w:pPr>
                  <w:r>
                    <w:rPr>
                      <w:rFonts w:hint="eastAsia"/>
                      <w:color w:val="auto"/>
                    </w:rPr>
                    <w:t>0.339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pStyle w:val="68"/>
                    <w:rPr>
                      <w:color w:val="auto"/>
                    </w:rPr>
                  </w:pPr>
                </w:p>
              </w:tc>
              <w:tc>
                <w:tcPr>
                  <w:tcW w:w="475" w:type="dxa"/>
                  <w:vAlign w:val="center"/>
                </w:tcPr>
                <w:p>
                  <w:pPr>
                    <w:pStyle w:val="68"/>
                    <w:rPr>
                      <w:color w:val="auto"/>
                    </w:rPr>
                  </w:pPr>
                  <w:r>
                    <w:rPr>
                      <w:rFonts w:hint="eastAsia"/>
                      <w:color w:val="auto"/>
                    </w:rPr>
                    <w:t>3</w:t>
                  </w:r>
                </w:p>
              </w:tc>
              <w:tc>
                <w:tcPr>
                  <w:tcW w:w="537" w:type="dxa"/>
                  <w:vAlign w:val="center"/>
                </w:tcPr>
                <w:p>
                  <w:pPr>
                    <w:pStyle w:val="68"/>
                    <w:rPr>
                      <w:color w:val="auto"/>
                    </w:rPr>
                  </w:pPr>
                  <w:r>
                    <w:rPr>
                      <w:rFonts w:hint="eastAsia"/>
                      <w:color w:val="auto"/>
                    </w:rPr>
                    <w:t>46.3</w:t>
                  </w:r>
                </w:p>
              </w:tc>
              <w:tc>
                <w:tcPr>
                  <w:tcW w:w="650" w:type="dxa"/>
                  <w:vAlign w:val="center"/>
                </w:tcPr>
                <w:p>
                  <w:pPr>
                    <w:pStyle w:val="68"/>
                    <w:rPr>
                      <w:color w:val="auto"/>
                    </w:rPr>
                  </w:pPr>
                  <w:r>
                    <w:rPr>
                      <w:rFonts w:hint="eastAsia"/>
                      <w:color w:val="auto"/>
                    </w:rPr>
                    <w:t>4611</w:t>
                  </w:r>
                </w:p>
              </w:tc>
              <w:tc>
                <w:tcPr>
                  <w:tcW w:w="513" w:type="dxa"/>
                  <w:vAlign w:val="center"/>
                </w:tcPr>
                <w:p>
                  <w:pPr>
                    <w:pStyle w:val="68"/>
                    <w:rPr>
                      <w:color w:val="auto"/>
                    </w:rPr>
                  </w:pPr>
                  <w:r>
                    <w:rPr>
                      <w:rFonts w:hint="eastAsia"/>
                      <w:color w:val="auto"/>
                    </w:rPr>
                    <w:t>4.5</w:t>
                  </w:r>
                </w:p>
              </w:tc>
              <w:tc>
                <w:tcPr>
                  <w:tcW w:w="700" w:type="dxa"/>
                  <w:vAlign w:val="center"/>
                </w:tcPr>
                <w:p>
                  <w:pPr>
                    <w:rPr>
                      <w:szCs w:val="21"/>
                    </w:rPr>
                  </w:pPr>
                  <w:r>
                    <w:rPr>
                      <w:rFonts w:hint="eastAsia"/>
                      <w:szCs w:val="21"/>
                    </w:rPr>
                    <w:t>＜20</w:t>
                  </w:r>
                </w:p>
              </w:tc>
              <w:tc>
                <w:tcPr>
                  <w:tcW w:w="650" w:type="dxa"/>
                  <w:vAlign w:val="center"/>
                </w:tcPr>
                <w:p>
                  <w:pPr>
                    <w:pStyle w:val="68"/>
                    <w:rPr>
                      <w:color w:val="auto"/>
                    </w:rPr>
                  </w:pPr>
                  <w:r>
                    <w:rPr>
                      <w:rFonts w:hint="eastAsia"/>
                      <w:color w:val="auto"/>
                    </w:rPr>
                    <w:t>-</w:t>
                  </w:r>
                </w:p>
              </w:tc>
              <w:tc>
                <w:tcPr>
                  <w:tcW w:w="662" w:type="dxa"/>
                  <w:vAlign w:val="center"/>
                </w:tcPr>
                <w:p>
                  <w:pPr>
                    <w:pStyle w:val="68"/>
                    <w:rPr>
                      <w:color w:val="auto"/>
                    </w:rPr>
                  </w:pPr>
                  <w:r>
                    <w:rPr>
                      <w:rFonts w:hint="eastAsia"/>
                      <w:color w:val="auto"/>
                    </w:rPr>
                    <w:t>0.092</w:t>
                  </w:r>
                </w:p>
              </w:tc>
              <w:tc>
                <w:tcPr>
                  <w:tcW w:w="588" w:type="dxa"/>
                  <w:vAlign w:val="center"/>
                </w:tcPr>
                <w:p>
                  <w:pPr>
                    <w:pStyle w:val="68"/>
                    <w:rPr>
                      <w:color w:val="auto"/>
                    </w:rPr>
                  </w:pPr>
                  <w:r>
                    <w:rPr>
                      <w:rFonts w:hint="eastAsia"/>
                      <w:color w:val="auto"/>
                    </w:rPr>
                    <w:t>10</w:t>
                  </w:r>
                </w:p>
              </w:tc>
              <w:tc>
                <w:tcPr>
                  <w:tcW w:w="587" w:type="dxa"/>
                  <w:vAlign w:val="center"/>
                </w:tcPr>
                <w:p>
                  <w:pPr>
                    <w:pStyle w:val="68"/>
                    <w:rPr>
                      <w:color w:val="auto"/>
                    </w:rPr>
                  </w:pPr>
                  <w:r>
                    <w:rPr>
                      <w:rFonts w:hint="eastAsia"/>
                      <w:color w:val="auto"/>
                    </w:rPr>
                    <w:t>11</w:t>
                  </w:r>
                </w:p>
              </w:tc>
              <w:tc>
                <w:tcPr>
                  <w:tcW w:w="550" w:type="dxa"/>
                  <w:vAlign w:val="center"/>
                </w:tcPr>
                <w:p>
                  <w:pPr>
                    <w:pStyle w:val="68"/>
                    <w:rPr>
                      <w:color w:val="auto"/>
                    </w:rPr>
                  </w:pPr>
                  <w:r>
                    <w:rPr>
                      <w:rFonts w:hint="eastAsia"/>
                      <w:color w:val="auto"/>
                    </w:rPr>
                    <w:t>0.046</w:t>
                  </w:r>
                </w:p>
              </w:tc>
              <w:tc>
                <w:tcPr>
                  <w:tcW w:w="538" w:type="dxa"/>
                  <w:vAlign w:val="center"/>
                </w:tcPr>
                <w:p>
                  <w:pPr>
                    <w:pStyle w:val="68"/>
                    <w:rPr>
                      <w:color w:val="auto"/>
                    </w:rPr>
                  </w:pPr>
                  <w:r>
                    <w:rPr>
                      <w:rFonts w:hint="eastAsia"/>
                      <w:color w:val="auto"/>
                    </w:rPr>
                    <w:t>83</w:t>
                  </w:r>
                </w:p>
              </w:tc>
              <w:tc>
                <w:tcPr>
                  <w:tcW w:w="500" w:type="dxa"/>
                  <w:vAlign w:val="center"/>
                </w:tcPr>
                <w:p>
                  <w:pPr>
                    <w:pStyle w:val="68"/>
                    <w:rPr>
                      <w:color w:val="auto"/>
                    </w:rPr>
                  </w:pPr>
                  <w:r>
                    <w:rPr>
                      <w:rFonts w:hint="eastAsia"/>
                      <w:color w:val="auto"/>
                    </w:rPr>
                    <w:t>88</w:t>
                  </w:r>
                </w:p>
              </w:tc>
              <w:tc>
                <w:tcPr>
                  <w:tcW w:w="595" w:type="dxa"/>
                  <w:vAlign w:val="center"/>
                </w:tcPr>
                <w:p>
                  <w:pPr>
                    <w:pStyle w:val="68"/>
                    <w:rPr>
                      <w:color w:val="auto"/>
                    </w:rPr>
                  </w:pPr>
                  <w:r>
                    <w:rPr>
                      <w:rFonts w:hint="eastAsia"/>
                      <w:color w:val="auto"/>
                    </w:rPr>
                    <w:t>0.383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75" w:type="dxa"/>
                  <w:vMerge w:val="restart"/>
                  <w:vAlign w:val="center"/>
                </w:tcPr>
                <w:p>
                  <w:pPr>
                    <w:pStyle w:val="68"/>
                    <w:rPr>
                      <w:color w:val="auto"/>
                    </w:rPr>
                  </w:pPr>
                  <w:r>
                    <w:rPr>
                      <w:rFonts w:hint="eastAsia"/>
                      <w:color w:val="auto"/>
                    </w:rPr>
                    <w:t>2019.12.04处理设施出口（A1）</w:t>
                  </w:r>
                </w:p>
              </w:tc>
              <w:tc>
                <w:tcPr>
                  <w:tcW w:w="475" w:type="dxa"/>
                  <w:vAlign w:val="center"/>
                </w:tcPr>
                <w:p>
                  <w:pPr>
                    <w:pStyle w:val="68"/>
                    <w:rPr>
                      <w:color w:val="auto"/>
                    </w:rPr>
                  </w:pPr>
                  <w:r>
                    <w:rPr>
                      <w:rFonts w:hint="eastAsia"/>
                      <w:color w:val="auto"/>
                    </w:rPr>
                    <w:t>1</w:t>
                  </w:r>
                </w:p>
              </w:tc>
              <w:tc>
                <w:tcPr>
                  <w:tcW w:w="537" w:type="dxa"/>
                  <w:vAlign w:val="center"/>
                </w:tcPr>
                <w:p>
                  <w:pPr>
                    <w:pStyle w:val="68"/>
                    <w:rPr>
                      <w:color w:val="auto"/>
                    </w:rPr>
                  </w:pPr>
                  <w:r>
                    <w:rPr>
                      <w:rFonts w:hint="eastAsia"/>
                      <w:color w:val="auto"/>
                    </w:rPr>
                    <w:t>46.0</w:t>
                  </w:r>
                </w:p>
              </w:tc>
              <w:tc>
                <w:tcPr>
                  <w:tcW w:w="650" w:type="dxa"/>
                  <w:vAlign w:val="center"/>
                </w:tcPr>
                <w:p>
                  <w:pPr>
                    <w:pStyle w:val="68"/>
                    <w:rPr>
                      <w:color w:val="auto"/>
                    </w:rPr>
                  </w:pPr>
                  <w:r>
                    <w:rPr>
                      <w:rFonts w:hint="eastAsia"/>
                      <w:color w:val="auto"/>
                    </w:rPr>
                    <w:t>4749</w:t>
                  </w:r>
                </w:p>
              </w:tc>
              <w:tc>
                <w:tcPr>
                  <w:tcW w:w="513" w:type="dxa"/>
                  <w:vAlign w:val="center"/>
                </w:tcPr>
                <w:p>
                  <w:pPr>
                    <w:pStyle w:val="68"/>
                    <w:rPr>
                      <w:color w:val="auto"/>
                    </w:rPr>
                  </w:pPr>
                  <w:r>
                    <w:rPr>
                      <w:rFonts w:hint="eastAsia"/>
                      <w:color w:val="auto"/>
                    </w:rPr>
                    <w:t>4.2</w:t>
                  </w:r>
                </w:p>
              </w:tc>
              <w:tc>
                <w:tcPr>
                  <w:tcW w:w="700" w:type="dxa"/>
                  <w:vAlign w:val="center"/>
                </w:tcPr>
                <w:p>
                  <w:pPr>
                    <w:rPr>
                      <w:szCs w:val="21"/>
                    </w:rPr>
                  </w:pPr>
                  <w:r>
                    <w:rPr>
                      <w:rFonts w:hint="eastAsia"/>
                      <w:szCs w:val="21"/>
                    </w:rPr>
                    <w:t>＜20</w:t>
                  </w:r>
                </w:p>
              </w:tc>
              <w:tc>
                <w:tcPr>
                  <w:tcW w:w="650" w:type="dxa"/>
                  <w:vAlign w:val="center"/>
                </w:tcPr>
                <w:p>
                  <w:pPr>
                    <w:pStyle w:val="68"/>
                    <w:rPr>
                      <w:color w:val="auto"/>
                    </w:rPr>
                  </w:pPr>
                  <w:r>
                    <w:rPr>
                      <w:rFonts w:hint="eastAsia"/>
                      <w:color w:val="auto"/>
                    </w:rPr>
                    <w:t>-</w:t>
                  </w:r>
                </w:p>
              </w:tc>
              <w:tc>
                <w:tcPr>
                  <w:tcW w:w="662" w:type="dxa"/>
                  <w:vAlign w:val="center"/>
                </w:tcPr>
                <w:p>
                  <w:pPr>
                    <w:pStyle w:val="68"/>
                    <w:rPr>
                      <w:color w:val="auto"/>
                    </w:rPr>
                  </w:pPr>
                  <w:r>
                    <w:rPr>
                      <w:rFonts w:hint="eastAsia"/>
                      <w:color w:val="auto"/>
                    </w:rPr>
                    <w:t>0.095</w:t>
                  </w:r>
                </w:p>
              </w:tc>
              <w:tc>
                <w:tcPr>
                  <w:tcW w:w="588" w:type="dxa"/>
                  <w:vAlign w:val="center"/>
                </w:tcPr>
                <w:p>
                  <w:pPr>
                    <w:pStyle w:val="68"/>
                    <w:rPr>
                      <w:color w:val="auto"/>
                    </w:rPr>
                  </w:pPr>
                  <w:r>
                    <w:rPr>
                      <w:rFonts w:hint="eastAsia"/>
                      <w:color w:val="auto"/>
                    </w:rPr>
                    <w:t>11</w:t>
                  </w:r>
                </w:p>
              </w:tc>
              <w:tc>
                <w:tcPr>
                  <w:tcW w:w="587" w:type="dxa"/>
                  <w:vAlign w:val="center"/>
                </w:tcPr>
                <w:p>
                  <w:pPr>
                    <w:pStyle w:val="68"/>
                    <w:rPr>
                      <w:color w:val="auto"/>
                    </w:rPr>
                  </w:pPr>
                  <w:r>
                    <w:rPr>
                      <w:rFonts w:hint="eastAsia"/>
                      <w:color w:val="auto"/>
                    </w:rPr>
                    <w:t>11</w:t>
                  </w:r>
                </w:p>
              </w:tc>
              <w:tc>
                <w:tcPr>
                  <w:tcW w:w="550" w:type="dxa"/>
                  <w:vAlign w:val="center"/>
                </w:tcPr>
                <w:p>
                  <w:pPr>
                    <w:pStyle w:val="68"/>
                    <w:rPr>
                      <w:color w:val="auto"/>
                    </w:rPr>
                  </w:pPr>
                  <w:r>
                    <w:rPr>
                      <w:rFonts w:hint="eastAsia"/>
                      <w:color w:val="auto"/>
                    </w:rPr>
                    <w:t>0.052</w:t>
                  </w:r>
                </w:p>
              </w:tc>
              <w:tc>
                <w:tcPr>
                  <w:tcW w:w="538" w:type="dxa"/>
                  <w:vAlign w:val="center"/>
                </w:tcPr>
                <w:p>
                  <w:pPr>
                    <w:pStyle w:val="68"/>
                    <w:rPr>
                      <w:color w:val="auto"/>
                    </w:rPr>
                  </w:pPr>
                  <w:r>
                    <w:rPr>
                      <w:rFonts w:hint="eastAsia"/>
                      <w:color w:val="auto"/>
                    </w:rPr>
                    <w:t>88</w:t>
                  </w:r>
                </w:p>
              </w:tc>
              <w:tc>
                <w:tcPr>
                  <w:tcW w:w="500" w:type="dxa"/>
                  <w:vAlign w:val="center"/>
                </w:tcPr>
                <w:p>
                  <w:pPr>
                    <w:pStyle w:val="68"/>
                    <w:rPr>
                      <w:color w:val="auto"/>
                    </w:rPr>
                  </w:pPr>
                  <w:r>
                    <w:rPr>
                      <w:rFonts w:hint="eastAsia"/>
                      <w:color w:val="auto"/>
                    </w:rPr>
                    <w:t>92</w:t>
                  </w:r>
                </w:p>
              </w:tc>
              <w:tc>
                <w:tcPr>
                  <w:tcW w:w="595" w:type="dxa"/>
                  <w:vAlign w:val="center"/>
                </w:tcPr>
                <w:p>
                  <w:pPr>
                    <w:pStyle w:val="68"/>
                    <w:rPr>
                      <w:color w:val="auto"/>
                    </w:rPr>
                  </w:pPr>
                  <w:r>
                    <w:rPr>
                      <w:rFonts w:hint="eastAsia"/>
                      <w:color w:val="auto"/>
                    </w:rPr>
                    <w:t>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75" w:type="dxa"/>
                  <w:vMerge w:val="continue"/>
                  <w:vAlign w:val="center"/>
                </w:tcPr>
                <w:p>
                  <w:pPr>
                    <w:pStyle w:val="68"/>
                    <w:rPr>
                      <w:color w:val="auto"/>
                    </w:rPr>
                  </w:pPr>
                </w:p>
              </w:tc>
              <w:tc>
                <w:tcPr>
                  <w:tcW w:w="475" w:type="dxa"/>
                  <w:vAlign w:val="center"/>
                </w:tcPr>
                <w:p>
                  <w:pPr>
                    <w:pStyle w:val="68"/>
                    <w:rPr>
                      <w:color w:val="auto"/>
                    </w:rPr>
                  </w:pPr>
                  <w:r>
                    <w:rPr>
                      <w:rFonts w:hint="eastAsia"/>
                      <w:color w:val="auto"/>
                    </w:rPr>
                    <w:t>2</w:t>
                  </w:r>
                </w:p>
              </w:tc>
              <w:tc>
                <w:tcPr>
                  <w:tcW w:w="537" w:type="dxa"/>
                  <w:vAlign w:val="center"/>
                </w:tcPr>
                <w:p>
                  <w:pPr>
                    <w:pStyle w:val="68"/>
                    <w:rPr>
                      <w:color w:val="auto"/>
                    </w:rPr>
                  </w:pPr>
                  <w:r>
                    <w:rPr>
                      <w:rFonts w:hint="eastAsia"/>
                      <w:color w:val="auto"/>
                    </w:rPr>
                    <w:t>46.2</w:t>
                  </w:r>
                </w:p>
              </w:tc>
              <w:tc>
                <w:tcPr>
                  <w:tcW w:w="650" w:type="dxa"/>
                  <w:vAlign w:val="center"/>
                </w:tcPr>
                <w:p>
                  <w:pPr>
                    <w:pStyle w:val="68"/>
                    <w:rPr>
                      <w:color w:val="auto"/>
                    </w:rPr>
                  </w:pPr>
                  <w:r>
                    <w:rPr>
                      <w:rFonts w:hint="eastAsia"/>
                      <w:color w:val="auto"/>
                    </w:rPr>
                    <w:t>4922</w:t>
                  </w:r>
                </w:p>
              </w:tc>
              <w:tc>
                <w:tcPr>
                  <w:tcW w:w="513" w:type="dxa"/>
                  <w:vAlign w:val="center"/>
                </w:tcPr>
                <w:p>
                  <w:pPr>
                    <w:pStyle w:val="68"/>
                    <w:rPr>
                      <w:color w:val="auto"/>
                    </w:rPr>
                  </w:pPr>
                  <w:r>
                    <w:rPr>
                      <w:rFonts w:hint="eastAsia"/>
                      <w:color w:val="auto"/>
                    </w:rPr>
                    <w:t>4.3</w:t>
                  </w:r>
                </w:p>
              </w:tc>
              <w:tc>
                <w:tcPr>
                  <w:tcW w:w="700" w:type="dxa"/>
                  <w:vAlign w:val="center"/>
                </w:tcPr>
                <w:p>
                  <w:pPr>
                    <w:rPr>
                      <w:szCs w:val="21"/>
                    </w:rPr>
                  </w:pPr>
                  <w:r>
                    <w:rPr>
                      <w:rFonts w:hint="eastAsia"/>
                      <w:szCs w:val="21"/>
                    </w:rPr>
                    <w:t>＜20</w:t>
                  </w:r>
                </w:p>
              </w:tc>
              <w:tc>
                <w:tcPr>
                  <w:tcW w:w="650" w:type="dxa"/>
                  <w:vAlign w:val="center"/>
                </w:tcPr>
                <w:p>
                  <w:pPr>
                    <w:pStyle w:val="68"/>
                    <w:rPr>
                      <w:color w:val="auto"/>
                    </w:rPr>
                  </w:pPr>
                  <w:r>
                    <w:rPr>
                      <w:rFonts w:hint="eastAsia"/>
                      <w:color w:val="auto"/>
                    </w:rPr>
                    <w:t>-</w:t>
                  </w:r>
                </w:p>
              </w:tc>
              <w:tc>
                <w:tcPr>
                  <w:tcW w:w="662" w:type="dxa"/>
                  <w:vAlign w:val="center"/>
                </w:tcPr>
                <w:p>
                  <w:pPr>
                    <w:pStyle w:val="68"/>
                    <w:rPr>
                      <w:color w:val="auto"/>
                    </w:rPr>
                  </w:pPr>
                  <w:r>
                    <w:rPr>
                      <w:rFonts w:hint="eastAsia"/>
                      <w:color w:val="auto"/>
                    </w:rPr>
                    <w:t>0.098</w:t>
                  </w:r>
                </w:p>
              </w:tc>
              <w:tc>
                <w:tcPr>
                  <w:tcW w:w="588" w:type="dxa"/>
                  <w:vAlign w:val="center"/>
                </w:tcPr>
                <w:p>
                  <w:pPr>
                    <w:pStyle w:val="68"/>
                    <w:rPr>
                      <w:color w:val="auto"/>
                    </w:rPr>
                  </w:pPr>
                  <w:r>
                    <w:rPr>
                      <w:rFonts w:hint="eastAsia"/>
                      <w:color w:val="auto"/>
                    </w:rPr>
                    <w:t>10</w:t>
                  </w:r>
                </w:p>
              </w:tc>
              <w:tc>
                <w:tcPr>
                  <w:tcW w:w="587" w:type="dxa"/>
                  <w:vAlign w:val="center"/>
                </w:tcPr>
                <w:p>
                  <w:pPr>
                    <w:pStyle w:val="68"/>
                    <w:rPr>
                      <w:color w:val="auto"/>
                    </w:rPr>
                  </w:pPr>
                  <w:r>
                    <w:rPr>
                      <w:rFonts w:hint="eastAsia"/>
                      <w:color w:val="auto"/>
                    </w:rPr>
                    <w:t>10</w:t>
                  </w:r>
                </w:p>
              </w:tc>
              <w:tc>
                <w:tcPr>
                  <w:tcW w:w="550" w:type="dxa"/>
                  <w:vAlign w:val="center"/>
                </w:tcPr>
                <w:p>
                  <w:pPr>
                    <w:pStyle w:val="68"/>
                    <w:rPr>
                      <w:color w:val="auto"/>
                    </w:rPr>
                  </w:pPr>
                  <w:r>
                    <w:rPr>
                      <w:rFonts w:hint="eastAsia"/>
                      <w:color w:val="auto"/>
                    </w:rPr>
                    <w:t>0.049</w:t>
                  </w:r>
                </w:p>
              </w:tc>
              <w:tc>
                <w:tcPr>
                  <w:tcW w:w="538" w:type="dxa"/>
                  <w:vAlign w:val="center"/>
                </w:tcPr>
                <w:p>
                  <w:pPr>
                    <w:pStyle w:val="68"/>
                    <w:rPr>
                      <w:color w:val="auto"/>
                    </w:rPr>
                  </w:pPr>
                  <w:r>
                    <w:rPr>
                      <w:rFonts w:hint="eastAsia"/>
                      <w:color w:val="auto"/>
                    </w:rPr>
                    <w:t>85</w:t>
                  </w:r>
                </w:p>
              </w:tc>
              <w:tc>
                <w:tcPr>
                  <w:tcW w:w="500" w:type="dxa"/>
                  <w:vAlign w:val="center"/>
                </w:tcPr>
                <w:p>
                  <w:pPr>
                    <w:pStyle w:val="68"/>
                    <w:rPr>
                      <w:color w:val="auto"/>
                    </w:rPr>
                  </w:pPr>
                  <w:r>
                    <w:rPr>
                      <w:rFonts w:hint="eastAsia"/>
                      <w:color w:val="auto"/>
                    </w:rPr>
                    <w:t>89</w:t>
                  </w:r>
                </w:p>
              </w:tc>
              <w:tc>
                <w:tcPr>
                  <w:tcW w:w="595" w:type="dxa"/>
                  <w:vAlign w:val="center"/>
                </w:tcPr>
                <w:p>
                  <w:pPr>
                    <w:pStyle w:val="68"/>
                    <w:rPr>
                      <w:color w:val="auto"/>
                    </w:rPr>
                  </w:pPr>
                  <w:r>
                    <w:rPr>
                      <w:rFonts w:hint="eastAsia"/>
                      <w:color w:val="auto"/>
                    </w:rPr>
                    <w:t>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pStyle w:val="68"/>
                    <w:rPr>
                      <w:color w:val="auto"/>
                    </w:rPr>
                  </w:pPr>
                </w:p>
              </w:tc>
              <w:tc>
                <w:tcPr>
                  <w:tcW w:w="475" w:type="dxa"/>
                  <w:vAlign w:val="center"/>
                </w:tcPr>
                <w:p>
                  <w:pPr>
                    <w:pStyle w:val="68"/>
                    <w:rPr>
                      <w:color w:val="auto"/>
                    </w:rPr>
                  </w:pPr>
                  <w:r>
                    <w:rPr>
                      <w:rFonts w:hint="eastAsia"/>
                      <w:color w:val="auto"/>
                    </w:rPr>
                    <w:t>3</w:t>
                  </w:r>
                </w:p>
              </w:tc>
              <w:tc>
                <w:tcPr>
                  <w:tcW w:w="537" w:type="dxa"/>
                  <w:vAlign w:val="center"/>
                </w:tcPr>
                <w:p>
                  <w:pPr>
                    <w:pStyle w:val="68"/>
                    <w:rPr>
                      <w:color w:val="auto"/>
                    </w:rPr>
                  </w:pPr>
                  <w:r>
                    <w:rPr>
                      <w:rFonts w:hint="eastAsia"/>
                      <w:color w:val="auto"/>
                    </w:rPr>
                    <w:t>46.3</w:t>
                  </w:r>
                </w:p>
              </w:tc>
              <w:tc>
                <w:tcPr>
                  <w:tcW w:w="650" w:type="dxa"/>
                  <w:vAlign w:val="center"/>
                </w:tcPr>
                <w:p>
                  <w:pPr>
                    <w:pStyle w:val="68"/>
                    <w:rPr>
                      <w:color w:val="auto"/>
                    </w:rPr>
                  </w:pPr>
                  <w:r>
                    <w:rPr>
                      <w:rFonts w:hint="eastAsia"/>
                      <w:color w:val="auto"/>
                    </w:rPr>
                    <w:t>4824</w:t>
                  </w:r>
                </w:p>
              </w:tc>
              <w:tc>
                <w:tcPr>
                  <w:tcW w:w="513" w:type="dxa"/>
                  <w:vAlign w:val="center"/>
                </w:tcPr>
                <w:p>
                  <w:pPr>
                    <w:pStyle w:val="68"/>
                    <w:rPr>
                      <w:color w:val="auto"/>
                    </w:rPr>
                  </w:pPr>
                  <w:r>
                    <w:rPr>
                      <w:rFonts w:hint="eastAsia"/>
                      <w:color w:val="auto"/>
                    </w:rPr>
                    <w:t>4.2</w:t>
                  </w:r>
                </w:p>
              </w:tc>
              <w:tc>
                <w:tcPr>
                  <w:tcW w:w="700" w:type="dxa"/>
                  <w:vAlign w:val="center"/>
                </w:tcPr>
                <w:p>
                  <w:pPr>
                    <w:rPr>
                      <w:szCs w:val="21"/>
                    </w:rPr>
                  </w:pPr>
                  <w:r>
                    <w:rPr>
                      <w:rFonts w:hint="eastAsia"/>
                      <w:szCs w:val="21"/>
                    </w:rPr>
                    <w:t>＜20</w:t>
                  </w:r>
                </w:p>
              </w:tc>
              <w:tc>
                <w:tcPr>
                  <w:tcW w:w="650" w:type="dxa"/>
                  <w:vAlign w:val="center"/>
                </w:tcPr>
                <w:p>
                  <w:pPr>
                    <w:pStyle w:val="68"/>
                    <w:rPr>
                      <w:color w:val="auto"/>
                    </w:rPr>
                  </w:pPr>
                  <w:r>
                    <w:rPr>
                      <w:rFonts w:hint="eastAsia"/>
                      <w:color w:val="auto"/>
                    </w:rPr>
                    <w:t>-</w:t>
                  </w:r>
                </w:p>
              </w:tc>
              <w:tc>
                <w:tcPr>
                  <w:tcW w:w="662" w:type="dxa"/>
                  <w:vAlign w:val="center"/>
                </w:tcPr>
                <w:p>
                  <w:pPr>
                    <w:pStyle w:val="68"/>
                    <w:rPr>
                      <w:color w:val="auto"/>
                    </w:rPr>
                  </w:pPr>
                  <w:r>
                    <w:rPr>
                      <w:rFonts w:hint="eastAsia"/>
                      <w:color w:val="auto"/>
                    </w:rPr>
                    <w:t>0.096</w:t>
                  </w:r>
                </w:p>
              </w:tc>
              <w:tc>
                <w:tcPr>
                  <w:tcW w:w="588" w:type="dxa"/>
                  <w:vAlign w:val="center"/>
                </w:tcPr>
                <w:p>
                  <w:pPr>
                    <w:pStyle w:val="68"/>
                    <w:rPr>
                      <w:color w:val="auto"/>
                    </w:rPr>
                  </w:pPr>
                  <w:r>
                    <w:rPr>
                      <w:rFonts w:hint="eastAsia"/>
                      <w:color w:val="auto"/>
                    </w:rPr>
                    <w:t>11</w:t>
                  </w:r>
                </w:p>
              </w:tc>
              <w:tc>
                <w:tcPr>
                  <w:tcW w:w="587" w:type="dxa"/>
                  <w:vAlign w:val="center"/>
                </w:tcPr>
                <w:p>
                  <w:pPr>
                    <w:pStyle w:val="68"/>
                    <w:rPr>
                      <w:color w:val="auto"/>
                    </w:rPr>
                  </w:pPr>
                  <w:r>
                    <w:rPr>
                      <w:rFonts w:hint="eastAsia"/>
                      <w:color w:val="auto"/>
                    </w:rPr>
                    <w:t>11</w:t>
                  </w:r>
                </w:p>
              </w:tc>
              <w:tc>
                <w:tcPr>
                  <w:tcW w:w="550" w:type="dxa"/>
                  <w:vAlign w:val="center"/>
                </w:tcPr>
                <w:p>
                  <w:pPr>
                    <w:pStyle w:val="68"/>
                    <w:rPr>
                      <w:color w:val="auto"/>
                    </w:rPr>
                  </w:pPr>
                  <w:r>
                    <w:rPr>
                      <w:rFonts w:hint="eastAsia"/>
                      <w:color w:val="auto"/>
                    </w:rPr>
                    <w:t>0.053</w:t>
                  </w:r>
                </w:p>
              </w:tc>
              <w:tc>
                <w:tcPr>
                  <w:tcW w:w="538" w:type="dxa"/>
                  <w:vAlign w:val="center"/>
                </w:tcPr>
                <w:p>
                  <w:pPr>
                    <w:pStyle w:val="68"/>
                    <w:rPr>
                      <w:color w:val="auto"/>
                    </w:rPr>
                  </w:pPr>
                  <w:r>
                    <w:rPr>
                      <w:rFonts w:hint="eastAsia"/>
                      <w:color w:val="auto"/>
                    </w:rPr>
                    <w:t>80</w:t>
                  </w:r>
                </w:p>
              </w:tc>
              <w:tc>
                <w:tcPr>
                  <w:tcW w:w="500" w:type="dxa"/>
                  <w:vAlign w:val="center"/>
                </w:tcPr>
                <w:p>
                  <w:pPr>
                    <w:pStyle w:val="68"/>
                    <w:rPr>
                      <w:color w:val="auto"/>
                    </w:rPr>
                  </w:pPr>
                  <w:r>
                    <w:rPr>
                      <w:rFonts w:hint="eastAsia"/>
                      <w:color w:val="auto"/>
                    </w:rPr>
                    <w:t>83</w:t>
                  </w:r>
                </w:p>
              </w:tc>
              <w:tc>
                <w:tcPr>
                  <w:tcW w:w="595" w:type="dxa"/>
                  <w:vAlign w:val="center"/>
                </w:tcPr>
                <w:p>
                  <w:pPr>
                    <w:pStyle w:val="68"/>
                    <w:rPr>
                      <w:color w:val="auto"/>
                    </w:rPr>
                  </w:pPr>
                  <w:r>
                    <w:rPr>
                      <w:rFonts w:hint="eastAsia"/>
                      <w:color w:val="auto"/>
                    </w:rPr>
                    <w:t>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150" w:type="dxa"/>
                  <w:gridSpan w:val="2"/>
                  <w:vAlign w:val="center"/>
                </w:tcPr>
                <w:p>
                  <w:pPr>
                    <w:pStyle w:val="68"/>
                    <w:rPr>
                      <w:color w:val="auto"/>
                    </w:rPr>
                  </w:pPr>
                  <w:r>
                    <w:rPr>
                      <w:rFonts w:hint="eastAsia"/>
                      <w:color w:val="auto"/>
                    </w:rPr>
                    <w:t>标准限值</w:t>
                  </w:r>
                </w:p>
              </w:tc>
              <w:tc>
                <w:tcPr>
                  <w:tcW w:w="1700" w:type="dxa"/>
                  <w:gridSpan w:val="3"/>
                  <w:vAlign w:val="center"/>
                </w:tcPr>
                <w:p>
                  <w:pPr>
                    <w:pStyle w:val="68"/>
                    <w:rPr>
                      <w:color w:val="auto"/>
                    </w:rPr>
                  </w:pPr>
                </w:p>
              </w:tc>
              <w:tc>
                <w:tcPr>
                  <w:tcW w:w="700" w:type="dxa"/>
                  <w:vAlign w:val="center"/>
                </w:tcPr>
                <w:p>
                  <w:pPr>
                    <w:pStyle w:val="68"/>
                    <w:rPr>
                      <w:color w:val="auto"/>
                    </w:rPr>
                  </w:pPr>
                  <w:r>
                    <w:rPr>
                      <w:rFonts w:hint="eastAsia"/>
                      <w:color w:val="auto"/>
                    </w:rPr>
                    <w:t>-</w:t>
                  </w:r>
                </w:p>
              </w:tc>
              <w:tc>
                <w:tcPr>
                  <w:tcW w:w="650" w:type="dxa"/>
                  <w:vAlign w:val="center"/>
                </w:tcPr>
                <w:p>
                  <w:pPr>
                    <w:pStyle w:val="68"/>
                    <w:rPr>
                      <w:color w:val="auto"/>
                    </w:rPr>
                  </w:pPr>
                  <w:r>
                    <w:rPr>
                      <w:rFonts w:hint="eastAsia"/>
                      <w:color w:val="auto"/>
                    </w:rPr>
                    <w:t>20</w:t>
                  </w:r>
                </w:p>
              </w:tc>
              <w:tc>
                <w:tcPr>
                  <w:tcW w:w="662" w:type="dxa"/>
                  <w:vAlign w:val="center"/>
                </w:tcPr>
                <w:p>
                  <w:pPr>
                    <w:pStyle w:val="68"/>
                    <w:rPr>
                      <w:color w:val="auto"/>
                    </w:rPr>
                  </w:pPr>
                  <w:r>
                    <w:rPr>
                      <w:rFonts w:hint="eastAsia"/>
                      <w:color w:val="auto"/>
                    </w:rPr>
                    <w:t>-</w:t>
                  </w:r>
                </w:p>
              </w:tc>
              <w:tc>
                <w:tcPr>
                  <w:tcW w:w="588" w:type="dxa"/>
                  <w:vAlign w:val="center"/>
                </w:tcPr>
                <w:p>
                  <w:pPr>
                    <w:pStyle w:val="68"/>
                    <w:rPr>
                      <w:color w:val="auto"/>
                    </w:rPr>
                  </w:pPr>
                  <w:r>
                    <w:rPr>
                      <w:rFonts w:hint="eastAsia"/>
                      <w:color w:val="auto"/>
                    </w:rPr>
                    <w:t>-</w:t>
                  </w:r>
                </w:p>
              </w:tc>
              <w:tc>
                <w:tcPr>
                  <w:tcW w:w="587" w:type="dxa"/>
                  <w:vAlign w:val="center"/>
                </w:tcPr>
                <w:p>
                  <w:pPr>
                    <w:pStyle w:val="68"/>
                    <w:rPr>
                      <w:color w:val="auto"/>
                    </w:rPr>
                  </w:pPr>
                  <w:r>
                    <w:rPr>
                      <w:rFonts w:hint="eastAsia"/>
                      <w:color w:val="auto"/>
                    </w:rPr>
                    <w:t>50</w:t>
                  </w:r>
                </w:p>
              </w:tc>
              <w:tc>
                <w:tcPr>
                  <w:tcW w:w="550" w:type="dxa"/>
                  <w:vAlign w:val="center"/>
                </w:tcPr>
                <w:p>
                  <w:pPr>
                    <w:pStyle w:val="68"/>
                    <w:rPr>
                      <w:color w:val="auto"/>
                    </w:rPr>
                  </w:pPr>
                  <w:r>
                    <w:rPr>
                      <w:rFonts w:hint="eastAsia"/>
                      <w:color w:val="auto"/>
                    </w:rPr>
                    <w:t>-</w:t>
                  </w:r>
                </w:p>
              </w:tc>
              <w:tc>
                <w:tcPr>
                  <w:tcW w:w="538" w:type="dxa"/>
                  <w:vAlign w:val="center"/>
                </w:tcPr>
                <w:p>
                  <w:pPr>
                    <w:pStyle w:val="68"/>
                    <w:rPr>
                      <w:color w:val="auto"/>
                    </w:rPr>
                  </w:pPr>
                  <w:r>
                    <w:rPr>
                      <w:rFonts w:hint="eastAsia"/>
                      <w:color w:val="auto"/>
                    </w:rPr>
                    <w:t>-</w:t>
                  </w:r>
                </w:p>
              </w:tc>
              <w:tc>
                <w:tcPr>
                  <w:tcW w:w="500" w:type="dxa"/>
                  <w:vAlign w:val="center"/>
                </w:tcPr>
                <w:p>
                  <w:pPr>
                    <w:pStyle w:val="68"/>
                    <w:rPr>
                      <w:color w:val="auto"/>
                    </w:rPr>
                  </w:pPr>
                  <w:r>
                    <w:rPr>
                      <w:rFonts w:hint="eastAsia"/>
                      <w:color w:val="auto"/>
                    </w:rPr>
                    <w:t>200</w:t>
                  </w:r>
                </w:p>
              </w:tc>
              <w:tc>
                <w:tcPr>
                  <w:tcW w:w="595" w:type="dxa"/>
                  <w:vAlign w:val="center"/>
                </w:tcPr>
                <w:p>
                  <w:pPr>
                    <w:pStyle w:val="68"/>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50" w:type="dxa"/>
                  <w:gridSpan w:val="2"/>
                  <w:vAlign w:val="center"/>
                </w:tcPr>
                <w:p>
                  <w:pPr>
                    <w:pStyle w:val="68"/>
                    <w:rPr>
                      <w:color w:val="auto"/>
                    </w:rPr>
                  </w:pPr>
                  <w:r>
                    <w:rPr>
                      <w:rFonts w:hint="eastAsia"/>
                      <w:color w:val="auto"/>
                    </w:rPr>
                    <w:t>执行标准</w:t>
                  </w:r>
                </w:p>
              </w:tc>
              <w:tc>
                <w:tcPr>
                  <w:tcW w:w="7070" w:type="dxa"/>
                  <w:gridSpan w:val="12"/>
                  <w:vAlign w:val="center"/>
                </w:tcPr>
                <w:p>
                  <w:pPr>
                    <w:pStyle w:val="68"/>
                    <w:rPr>
                      <w:color w:val="auto"/>
                    </w:rPr>
                  </w:pPr>
                  <w:r>
                    <w:rPr>
                      <w:rFonts w:hint="eastAsia"/>
                      <w:color w:val="auto"/>
                    </w:rPr>
                    <w:t>《锅炉大气污染物排放标准》（GB 13271-2014）中新建锅炉大气污染物排放浓度限值</w:t>
                  </w:r>
                </w:p>
              </w:tc>
            </w:tr>
          </w:tbl>
          <w:p>
            <w:pPr>
              <w:pStyle w:val="49"/>
              <w:spacing w:before="120" w:beforeLines="50"/>
              <w:ind w:firstLine="482"/>
              <w:rPr>
                <w:b/>
                <w:bCs/>
              </w:rPr>
            </w:pPr>
            <w:r>
              <w:rPr>
                <w:rFonts w:hint="eastAsia"/>
                <w:b/>
                <w:bCs/>
              </w:rPr>
              <w:t>2、废水</w:t>
            </w:r>
          </w:p>
          <w:p>
            <w:pPr>
              <w:pStyle w:val="49"/>
              <w:ind w:firstLine="480"/>
            </w:pPr>
            <w:r>
              <w:rPr>
                <w:rFonts w:hint="eastAsia"/>
              </w:rPr>
              <w:t>本项目废水包括：生产废水(设备清洗废水、地面冲洗废水)以及生活污水，总量为 3740m</w:t>
            </w:r>
            <w:r>
              <w:rPr>
                <w:rFonts w:hint="eastAsia"/>
                <w:vertAlign w:val="superscript"/>
              </w:rPr>
              <w:t>3</w:t>
            </w:r>
            <w:r>
              <w:rPr>
                <w:rFonts w:hint="eastAsia"/>
              </w:rPr>
              <w:t>/a，废水经厂内污水处理设施预处理后经城市污 水管网进入滁州市第二污水处理厂处理，尾水进清流河。</w:t>
            </w:r>
          </w:p>
          <w:p>
            <w:pPr>
              <w:spacing w:line="360" w:lineRule="auto"/>
              <w:ind w:firstLine="560"/>
              <w:rPr>
                <w:kern w:val="0"/>
                <w:sz w:val="24"/>
                <w:szCs w:val="28"/>
              </w:rPr>
            </w:pPr>
            <w:r>
              <w:rPr>
                <w:rFonts w:hint="eastAsia"/>
                <w:kern w:val="0"/>
                <w:sz w:val="24"/>
                <w:szCs w:val="28"/>
              </w:rPr>
              <w:t>项目废水监测结果统计情况及具体监测结果见表2-12。</w:t>
            </w:r>
          </w:p>
          <w:p>
            <w:pPr>
              <w:adjustRightInd w:val="0"/>
              <w:spacing w:line="360" w:lineRule="auto"/>
              <w:jc w:val="center"/>
              <w:textAlignment w:val="baseline"/>
              <w:rPr>
                <w:b/>
                <w:bCs/>
                <w:kern w:val="0"/>
                <w:sz w:val="24"/>
                <w:szCs w:val="28"/>
              </w:rPr>
            </w:pPr>
            <w:r>
              <w:rPr>
                <w:rFonts w:hint="eastAsia"/>
                <w:b/>
                <w:bCs/>
                <w:kern w:val="0"/>
                <w:sz w:val="24"/>
                <w:szCs w:val="28"/>
              </w:rPr>
              <w:t>表2-12  废水验收监测结果</w:t>
            </w:r>
          </w:p>
          <w:tbl>
            <w:tblPr>
              <w:tblStyle w:val="23"/>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757"/>
              <w:gridCol w:w="818"/>
              <w:gridCol w:w="775"/>
              <w:gridCol w:w="662"/>
              <w:gridCol w:w="600"/>
              <w:gridCol w:w="625"/>
              <w:gridCol w:w="613"/>
              <w:gridCol w:w="612"/>
              <w:gridCol w:w="625"/>
              <w:gridCol w:w="763"/>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restart"/>
                  <w:vAlign w:val="center"/>
                </w:tcPr>
                <w:p>
                  <w:pPr>
                    <w:pStyle w:val="68"/>
                    <w:rPr>
                      <w:b/>
                      <w:bCs w:val="0"/>
                      <w:color w:val="auto"/>
                    </w:rPr>
                  </w:pPr>
                  <w:r>
                    <w:rPr>
                      <w:rFonts w:hint="eastAsia"/>
                      <w:b/>
                      <w:bCs w:val="0"/>
                      <w:color w:val="auto"/>
                    </w:rPr>
                    <w:t>采样日期</w:t>
                  </w:r>
                </w:p>
              </w:tc>
              <w:tc>
                <w:tcPr>
                  <w:tcW w:w="757" w:type="dxa"/>
                  <w:vMerge w:val="restart"/>
                  <w:vAlign w:val="center"/>
                </w:tcPr>
                <w:p>
                  <w:pPr>
                    <w:pStyle w:val="68"/>
                    <w:rPr>
                      <w:b/>
                      <w:bCs w:val="0"/>
                      <w:color w:val="auto"/>
                    </w:rPr>
                  </w:pPr>
                  <w:r>
                    <w:rPr>
                      <w:rFonts w:hint="eastAsia"/>
                      <w:b/>
                      <w:bCs w:val="0"/>
                      <w:color w:val="auto"/>
                    </w:rPr>
                    <w:t>检测点位</w:t>
                  </w:r>
                </w:p>
              </w:tc>
              <w:tc>
                <w:tcPr>
                  <w:tcW w:w="818" w:type="dxa"/>
                  <w:vMerge w:val="restart"/>
                  <w:vAlign w:val="center"/>
                </w:tcPr>
                <w:p>
                  <w:pPr>
                    <w:pStyle w:val="68"/>
                    <w:rPr>
                      <w:b/>
                      <w:bCs w:val="0"/>
                      <w:color w:val="auto"/>
                    </w:rPr>
                  </w:pPr>
                  <w:r>
                    <w:rPr>
                      <w:rFonts w:hint="eastAsia"/>
                      <w:b/>
                      <w:bCs w:val="0"/>
                      <w:color w:val="auto"/>
                    </w:rPr>
                    <w:t>检测频次</w:t>
                  </w:r>
                </w:p>
              </w:tc>
              <w:tc>
                <w:tcPr>
                  <w:tcW w:w="6065" w:type="dxa"/>
                  <w:gridSpan w:val="9"/>
                  <w:vAlign w:val="center"/>
                </w:tcPr>
                <w:p>
                  <w:pPr>
                    <w:pStyle w:val="68"/>
                    <w:rPr>
                      <w:b/>
                      <w:bCs w:val="0"/>
                      <w:color w:val="auto"/>
                    </w:rPr>
                  </w:pPr>
                  <w:r>
                    <w:rPr>
                      <w:rFonts w:hint="eastAsia"/>
                      <w:b/>
                      <w:bCs w:val="0"/>
                      <w:color w:val="auto"/>
                    </w:rPr>
                    <w:t>检测结果（mg/L）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80" w:type="dxa"/>
                  <w:vMerge w:val="continue"/>
                  <w:vAlign w:val="center"/>
                </w:tcPr>
                <w:p>
                  <w:pPr>
                    <w:pStyle w:val="68"/>
                    <w:rPr>
                      <w:b/>
                      <w:bCs w:val="0"/>
                      <w:color w:val="auto"/>
                    </w:rPr>
                  </w:pPr>
                </w:p>
              </w:tc>
              <w:tc>
                <w:tcPr>
                  <w:tcW w:w="757" w:type="dxa"/>
                  <w:vMerge w:val="continue"/>
                  <w:vAlign w:val="center"/>
                </w:tcPr>
                <w:p>
                  <w:pPr>
                    <w:pStyle w:val="68"/>
                    <w:rPr>
                      <w:b/>
                      <w:bCs w:val="0"/>
                      <w:color w:val="auto"/>
                    </w:rPr>
                  </w:pPr>
                </w:p>
              </w:tc>
              <w:tc>
                <w:tcPr>
                  <w:tcW w:w="818" w:type="dxa"/>
                  <w:vMerge w:val="continue"/>
                  <w:vAlign w:val="center"/>
                </w:tcPr>
                <w:p>
                  <w:pPr>
                    <w:pStyle w:val="68"/>
                    <w:rPr>
                      <w:b/>
                      <w:bCs w:val="0"/>
                      <w:color w:val="auto"/>
                    </w:rPr>
                  </w:pPr>
                </w:p>
              </w:tc>
              <w:tc>
                <w:tcPr>
                  <w:tcW w:w="775" w:type="dxa"/>
                  <w:vAlign w:val="center"/>
                </w:tcPr>
                <w:p>
                  <w:pPr>
                    <w:pStyle w:val="68"/>
                    <w:rPr>
                      <w:b/>
                      <w:bCs w:val="0"/>
                      <w:color w:val="auto"/>
                    </w:rPr>
                  </w:pPr>
                  <w:r>
                    <w:rPr>
                      <w:rFonts w:hint="eastAsia"/>
                      <w:b/>
                      <w:bCs w:val="0"/>
                      <w:color w:val="auto"/>
                    </w:rPr>
                    <w:t>PH值</w:t>
                  </w:r>
                </w:p>
              </w:tc>
              <w:tc>
                <w:tcPr>
                  <w:tcW w:w="662" w:type="dxa"/>
                  <w:vAlign w:val="center"/>
                </w:tcPr>
                <w:p>
                  <w:pPr>
                    <w:pStyle w:val="68"/>
                    <w:rPr>
                      <w:b/>
                      <w:bCs w:val="0"/>
                      <w:color w:val="auto"/>
                    </w:rPr>
                  </w:pPr>
                  <w:r>
                    <w:rPr>
                      <w:rFonts w:hint="eastAsia"/>
                      <w:b/>
                      <w:bCs w:val="0"/>
                      <w:color w:val="auto"/>
                    </w:rPr>
                    <w:t>水温℃</w:t>
                  </w:r>
                </w:p>
              </w:tc>
              <w:tc>
                <w:tcPr>
                  <w:tcW w:w="600" w:type="dxa"/>
                  <w:vAlign w:val="center"/>
                </w:tcPr>
                <w:p>
                  <w:pPr>
                    <w:pStyle w:val="68"/>
                    <w:rPr>
                      <w:b/>
                      <w:bCs w:val="0"/>
                      <w:color w:val="auto"/>
                    </w:rPr>
                  </w:pPr>
                  <w:r>
                    <w:rPr>
                      <w:rFonts w:hint="eastAsia"/>
                      <w:b/>
                      <w:bCs w:val="0"/>
                      <w:color w:val="auto"/>
                    </w:rPr>
                    <w:t>悬浮物</w:t>
                  </w:r>
                </w:p>
              </w:tc>
              <w:tc>
                <w:tcPr>
                  <w:tcW w:w="625" w:type="dxa"/>
                  <w:vAlign w:val="center"/>
                </w:tcPr>
                <w:p>
                  <w:pPr>
                    <w:pStyle w:val="68"/>
                    <w:rPr>
                      <w:b/>
                      <w:bCs w:val="0"/>
                      <w:color w:val="auto"/>
                    </w:rPr>
                  </w:pPr>
                  <w:r>
                    <w:rPr>
                      <w:rFonts w:hint="eastAsia"/>
                      <w:b/>
                      <w:bCs w:val="0"/>
                      <w:color w:val="auto"/>
                    </w:rPr>
                    <w:t>COD</w:t>
                  </w:r>
                </w:p>
              </w:tc>
              <w:tc>
                <w:tcPr>
                  <w:tcW w:w="613" w:type="dxa"/>
                  <w:vAlign w:val="center"/>
                </w:tcPr>
                <w:p>
                  <w:pPr>
                    <w:pStyle w:val="68"/>
                    <w:rPr>
                      <w:b/>
                      <w:bCs w:val="0"/>
                      <w:color w:val="auto"/>
                    </w:rPr>
                  </w:pPr>
                  <w:r>
                    <w:rPr>
                      <w:rFonts w:hint="eastAsia"/>
                      <w:b/>
                      <w:bCs w:val="0"/>
                      <w:color w:val="auto"/>
                    </w:rPr>
                    <w:t>氨氮</w:t>
                  </w:r>
                </w:p>
              </w:tc>
              <w:tc>
                <w:tcPr>
                  <w:tcW w:w="612" w:type="dxa"/>
                  <w:vAlign w:val="center"/>
                </w:tcPr>
                <w:p>
                  <w:pPr>
                    <w:pStyle w:val="68"/>
                    <w:rPr>
                      <w:b/>
                      <w:bCs w:val="0"/>
                      <w:color w:val="auto"/>
                    </w:rPr>
                  </w:pPr>
                  <w:r>
                    <w:rPr>
                      <w:rFonts w:hint="eastAsia"/>
                      <w:b/>
                      <w:bCs w:val="0"/>
                      <w:color w:val="auto"/>
                    </w:rPr>
                    <w:t>总氮</w:t>
                  </w:r>
                </w:p>
              </w:tc>
              <w:tc>
                <w:tcPr>
                  <w:tcW w:w="625" w:type="dxa"/>
                  <w:vAlign w:val="center"/>
                </w:tcPr>
                <w:p>
                  <w:pPr>
                    <w:pStyle w:val="68"/>
                    <w:rPr>
                      <w:b/>
                      <w:bCs w:val="0"/>
                      <w:color w:val="auto"/>
                    </w:rPr>
                  </w:pPr>
                  <w:r>
                    <w:rPr>
                      <w:rFonts w:hint="eastAsia"/>
                      <w:b/>
                      <w:bCs w:val="0"/>
                      <w:color w:val="auto"/>
                    </w:rPr>
                    <w:t>总磷</w:t>
                  </w:r>
                </w:p>
              </w:tc>
              <w:tc>
                <w:tcPr>
                  <w:tcW w:w="763" w:type="dxa"/>
                  <w:vAlign w:val="center"/>
                </w:tcPr>
                <w:p>
                  <w:pPr>
                    <w:pStyle w:val="68"/>
                    <w:rPr>
                      <w:b/>
                      <w:bCs w:val="0"/>
                      <w:color w:val="auto"/>
                    </w:rPr>
                  </w:pPr>
                  <w:r>
                    <w:rPr>
                      <w:rFonts w:hint="eastAsia"/>
                      <w:b/>
                      <w:bCs w:val="0"/>
                      <w:color w:val="auto"/>
                    </w:rPr>
                    <w:t>BOD</w:t>
                  </w:r>
                  <w:r>
                    <w:rPr>
                      <w:rFonts w:hint="eastAsia"/>
                      <w:b/>
                      <w:bCs w:val="0"/>
                      <w:color w:val="auto"/>
                      <w:vertAlign w:val="subscript"/>
                    </w:rPr>
                    <w:t>5</w:t>
                  </w:r>
                </w:p>
              </w:tc>
              <w:tc>
                <w:tcPr>
                  <w:tcW w:w="790" w:type="dxa"/>
                  <w:vAlign w:val="center"/>
                </w:tcPr>
                <w:p>
                  <w:pPr>
                    <w:pStyle w:val="68"/>
                    <w:rPr>
                      <w:b/>
                      <w:bCs w:val="0"/>
                      <w:color w:val="auto"/>
                    </w:rPr>
                  </w:pPr>
                  <w:r>
                    <w:rPr>
                      <w:rFonts w:hint="eastAsia"/>
                      <w:b/>
                      <w:bCs w:val="0"/>
                      <w:color w:val="auto"/>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restart"/>
                  <w:vAlign w:val="center"/>
                </w:tcPr>
                <w:p>
                  <w:pPr>
                    <w:pStyle w:val="68"/>
                    <w:rPr>
                      <w:color w:val="auto"/>
                    </w:rPr>
                  </w:pPr>
                  <w:r>
                    <w:rPr>
                      <w:rFonts w:hint="eastAsia"/>
                      <w:color w:val="auto"/>
                    </w:rPr>
                    <w:t>2019.12.03</w:t>
                  </w:r>
                </w:p>
              </w:tc>
              <w:tc>
                <w:tcPr>
                  <w:tcW w:w="757" w:type="dxa"/>
                  <w:vMerge w:val="restart"/>
                  <w:vAlign w:val="center"/>
                </w:tcPr>
                <w:p>
                  <w:pPr>
                    <w:pStyle w:val="68"/>
                    <w:rPr>
                      <w:color w:val="auto"/>
                    </w:rPr>
                  </w:pPr>
                  <w:r>
                    <w:rPr>
                      <w:rFonts w:hint="eastAsia"/>
                      <w:color w:val="auto"/>
                    </w:rPr>
                    <w:t>厂区污水处理设施进口W2</w:t>
                  </w:r>
                </w:p>
              </w:tc>
              <w:tc>
                <w:tcPr>
                  <w:tcW w:w="818" w:type="dxa"/>
                  <w:vAlign w:val="center"/>
                </w:tcPr>
                <w:p>
                  <w:pPr>
                    <w:pStyle w:val="68"/>
                    <w:rPr>
                      <w:color w:val="auto"/>
                    </w:rPr>
                  </w:pPr>
                  <w:r>
                    <w:rPr>
                      <w:rFonts w:hint="eastAsia"/>
                      <w:color w:val="auto"/>
                    </w:rPr>
                    <w:t>第一次</w:t>
                  </w:r>
                </w:p>
              </w:tc>
              <w:tc>
                <w:tcPr>
                  <w:tcW w:w="775" w:type="dxa"/>
                  <w:vAlign w:val="center"/>
                </w:tcPr>
                <w:p>
                  <w:pPr>
                    <w:pStyle w:val="68"/>
                    <w:rPr>
                      <w:color w:val="auto"/>
                    </w:rPr>
                  </w:pPr>
                  <w:r>
                    <w:rPr>
                      <w:rFonts w:hint="eastAsia"/>
                      <w:color w:val="auto"/>
                    </w:rPr>
                    <w:t>7.43</w:t>
                  </w:r>
                </w:p>
              </w:tc>
              <w:tc>
                <w:tcPr>
                  <w:tcW w:w="662" w:type="dxa"/>
                  <w:vAlign w:val="center"/>
                </w:tcPr>
                <w:p>
                  <w:pPr>
                    <w:pStyle w:val="68"/>
                    <w:rPr>
                      <w:color w:val="auto"/>
                    </w:rPr>
                  </w:pPr>
                  <w:r>
                    <w:rPr>
                      <w:rFonts w:hint="eastAsia"/>
                      <w:color w:val="auto"/>
                    </w:rPr>
                    <w:t>12.8</w:t>
                  </w:r>
                </w:p>
              </w:tc>
              <w:tc>
                <w:tcPr>
                  <w:tcW w:w="600" w:type="dxa"/>
                  <w:vAlign w:val="center"/>
                </w:tcPr>
                <w:p>
                  <w:pPr>
                    <w:pStyle w:val="68"/>
                    <w:rPr>
                      <w:color w:val="auto"/>
                    </w:rPr>
                  </w:pPr>
                  <w:r>
                    <w:rPr>
                      <w:rFonts w:hint="eastAsia"/>
                      <w:color w:val="auto"/>
                    </w:rPr>
                    <w:t>170</w:t>
                  </w:r>
                </w:p>
              </w:tc>
              <w:tc>
                <w:tcPr>
                  <w:tcW w:w="625" w:type="dxa"/>
                  <w:vAlign w:val="center"/>
                </w:tcPr>
                <w:p>
                  <w:pPr>
                    <w:pStyle w:val="68"/>
                    <w:rPr>
                      <w:color w:val="auto"/>
                    </w:rPr>
                  </w:pPr>
                  <w:r>
                    <w:rPr>
                      <w:rFonts w:hint="eastAsia"/>
                      <w:color w:val="auto"/>
                    </w:rPr>
                    <w:t>116</w:t>
                  </w:r>
                </w:p>
              </w:tc>
              <w:tc>
                <w:tcPr>
                  <w:tcW w:w="613" w:type="dxa"/>
                  <w:vAlign w:val="center"/>
                </w:tcPr>
                <w:p>
                  <w:pPr>
                    <w:pStyle w:val="68"/>
                    <w:rPr>
                      <w:color w:val="auto"/>
                    </w:rPr>
                  </w:pPr>
                  <w:r>
                    <w:rPr>
                      <w:rFonts w:hint="eastAsia"/>
                      <w:color w:val="auto"/>
                    </w:rPr>
                    <w:t>11.4</w:t>
                  </w:r>
                </w:p>
              </w:tc>
              <w:tc>
                <w:tcPr>
                  <w:tcW w:w="612" w:type="dxa"/>
                  <w:vAlign w:val="center"/>
                </w:tcPr>
                <w:p>
                  <w:pPr>
                    <w:pStyle w:val="68"/>
                    <w:rPr>
                      <w:color w:val="auto"/>
                    </w:rPr>
                  </w:pPr>
                  <w:r>
                    <w:rPr>
                      <w:rFonts w:hint="eastAsia"/>
                      <w:color w:val="auto"/>
                    </w:rPr>
                    <w:t>26.2</w:t>
                  </w:r>
                </w:p>
              </w:tc>
              <w:tc>
                <w:tcPr>
                  <w:tcW w:w="625" w:type="dxa"/>
                  <w:vAlign w:val="center"/>
                </w:tcPr>
                <w:p>
                  <w:pPr>
                    <w:pStyle w:val="68"/>
                    <w:rPr>
                      <w:color w:val="auto"/>
                    </w:rPr>
                  </w:pPr>
                  <w:r>
                    <w:rPr>
                      <w:rFonts w:hint="eastAsia"/>
                      <w:color w:val="auto"/>
                    </w:rPr>
                    <w:t>1.77</w:t>
                  </w:r>
                </w:p>
              </w:tc>
              <w:tc>
                <w:tcPr>
                  <w:tcW w:w="763" w:type="dxa"/>
                  <w:vAlign w:val="center"/>
                </w:tcPr>
                <w:p>
                  <w:pPr>
                    <w:pStyle w:val="68"/>
                    <w:rPr>
                      <w:color w:val="auto"/>
                    </w:rPr>
                  </w:pPr>
                  <w:r>
                    <w:rPr>
                      <w:rFonts w:hint="eastAsia"/>
                      <w:color w:val="auto"/>
                    </w:rPr>
                    <w:t>28.6</w:t>
                  </w:r>
                </w:p>
              </w:tc>
              <w:tc>
                <w:tcPr>
                  <w:tcW w:w="790" w:type="dxa"/>
                  <w:vAlign w:val="center"/>
                </w:tcPr>
                <w:p>
                  <w:pPr>
                    <w:pStyle w:val="68"/>
                    <w:rPr>
                      <w:color w:val="auto"/>
                    </w:rPr>
                  </w:pPr>
                  <w:r>
                    <w:rPr>
                      <w:rFonts w:hint="eastAsia"/>
                      <w:color w:val="auto"/>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第二次</w:t>
                  </w:r>
                </w:p>
              </w:tc>
              <w:tc>
                <w:tcPr>
                  <w:tcW w:w="775" w:type="dxa"/>
                  <w:vAlign w:val="center"/>
                </w:tcPr>
                <w:p>
                  <w:pPr>
                    <w:pStyle w:val="68"/>
                    <w:rPr>
                      <w:color w:val="auto"/>
                    </w:rPr>
                  </w:pPr>
                  <w:r>
                    <w:rPr>
                      <w:rFonts w:hint="eastAsia"/>
                      <w:color w:val="auto"/>
                    </w:rPr>
                    <w:t>7.64</w:t>
                  </w:r>
                </w:p>
              </w:tc>
              <w:tc>
                <w:tcPr>
                  <w:tcW w:w="662" w:type="dxa"/>
                  <w:vAlign w:val="center"/>
                </w:tcPr>
                <w:p>
                  <w:pPr>
                    <w:pStyle w:val="68"/>
                    <w:rPr>
                      <w:color w:val="auto"/>
                    </w:rPr>
                  </w:pPr>
                  <w:r>
                    <w:rPr>
                      <w:rFonts w:hint="eastAsia"/>
                      <w:color w:val="auto"/>
                    </w:rPr>
                    <w:t>13.0</w:t>
                  </w:r>
                </w:p>
              </w:tc>
              <w:tc>
                <w:tcPr>
                  <w:tcW w:w="600" w:type="dxa"/>
                  <w:vAlign w:val="center"/>
                </w:tcPr>
                <w:p>
                  <w:pPr>
                    <w:pStyle w:val="68"/>
                    <w:rPr>
                      <w:color w:val="auto"/>
                    </w:rPr>
                  </w:pPr>
                  <w:r>
                    <w:rPr>
                      <w:rFonts w:hint="eastAsia"/>
                      <w:color w:val="auto"/>
                    </w:rPr>
                    <w:t>96</w:t>
                  </w:r>
                </w:p>
              </w:tc>
              <w:tc>
                <w:tcPr>
                  <w:tcW w:w="625" w:type="dxa"/>
                  <w:vAlign w:val="center"/>
                </w:tcPr>
                <w:p>
                  <w:pPr>
                    <w:pStyle w:val="68"/>
                    <w:rPr>
                      <w:color w:val="auto"/>
                    </w:rPr>
                  </w:pPr>
                  <w:r>
                    <w:rPr>
                      <w:rFonts w:hint="eastAsia"/>
                      <w:color w:val="auto"/>
                    </w:rPr>
                    <w:t>120</w:t>
                  </w:r>
                </w:p>
              </w:tc>
              <w:tc>
                <w:tcPr>
                  <w:tcW w:w="613" w:type="dxa"/>
                  <w:vAlign w:val="center"/>
                </w:tcPr>
                <w:p>
                  <w:pPr>
                    <w:pStyle w:val="68"/>
                    <w:rPr>
                      <w:color w:val="auto"/>
                    </w:rPr>
                  </w:pPr>
                  <w:r>
                    <w:rPr>
                      <w:rFonts w:hint="eastAsia"/>
                      <w:color w:val="auto"/>
                    </w:rPr>
                    <w:t>10.1</w:t>
                  </w:r>
                </w:p>
              </w:tc>
              <w:tc>
                <w:tcPr>
                  <w:tcW w:w="612" w:type="dxa"/>
                  <w:vAlign w:val="center"/>
                </w:tcPr>
                <w:p>
                  <w:pPr>
                    <w:pStyle w:val="68"/>
                    <w:rPr>
                      <w:color w:val="auto"/>
                    </w:rPr>
                  </w:pPr>
                  <w:r>
                    <w:rPr>
                      <w:rFonts w:hint="eastAsia"/>
                      <w:color w:val="auto"/>
                    </w:rPr>
                    <w:t>22.8</w:t>
                  </w:r>
                </w:p>
              </w:tc>
              <w:tc>
                <w:tcPr>
                  <w:tcW w:w="625" w:type="dxa"/>
                  <w:vAlign w:val="center"/>
                </w:tcPr>
                <w:p>
                  <w:pPr>
                    <w:pStyle w:val="68"/>
                    <w:rPr>
                      <w:color w:val="auto"/>
                    </w:rPr>
                  </w:pPr>
                  <w:r>
                    <w:rPr>
                      <w:rFonts w:hint="eastAsia"/>
                      <w:color w:val="auto"/>
                    </w:rPr>
                    <w:t>1.09</w:t>
                  </w:r>
                </w:p>
              </w:tc>
              <w:tc>
                <w:tcPr>
                  <w:tcW w:w="763" w:type="dxa"/>
                  <w:vAlign w:val="center"/>
                </w:tcPr>
                <w:p>
                  <w:pPr>
                    <w:pStyle w:val="68"/>
                    <w:rPr>
                      <w:color w:val="auto"/>
                    </w:rPr>
                  </w:pPr>
                  <w:r>
                    <w:rPr>
                      <w:rFonts w:hint="eastAsia"/>
                      <w:color w:val="auto"/>
                    </w:rPr>
                    <w:t>26.3</w:t>
                  </w:r>
                </w:p>
              </w:tc>
              <w:tc>
                <w:tcPr>
                  <w:tcW w:w="790" w:type="dxa"/>
                  <w:vAlign w:val="center"/>
                </w:tcPr>
                <w:p>
                  <w:pPr>
                    <w:pStyle w:val="68"/>
                    <w:rPr>
                      <w:color w:val="auto"/>
                    </w:rPr>
                  </w:pPr>
                  <w:r>
                    <w:rPr>
                      <w:rFonts w:hint="eastAsia"/>
                      <w:color w:val="auto"/>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第三次</w:t>
                  </w:r>
                </w:p>
              </w:tc>
              <w:tc>
                <w:tcPr>
                  <w:tcW w:w="775" w:type="dxa"/>
                  <w:vAlign w:val="center"/>
                </w:tcPr>
                <w:p>
                  <w:pPr>
                    <w:pStyle w:val="68"/>
                    <w:rPr>
                      <w:color w:val="auto"/>
                    </w:rPr>
                  </w:pPr>
                  <w:r>
                    <w:rPr>
                      <w:rFonts w:hint="eastAsia"/>
                      <w:color w:val="auto"/>
                    </w:rPr>
                    <w:t>7.76</w:t>
                  </w:r>
                </w:p>
              </w:tc>
              <w:tc>
                <w:tcPr>
                  <w:tcW w:w="662" w:type="dxa"/>
                  <w:vAlign w:val="center"/>
                </w:tcPr>
                <w:p>
                  <w:pPr>
                    <w:pStyle w:val="68"/>
                    <w:rPr>
                      <w:color w:val="auto"/>
                    </w:rPr>
                  </w:pPr>
                  <w:r>
                    <w:rPr>
                      <w:rFonts w:hint="eastAsia"/>
                      <w:color w:val="auto"/>
                    </w:rPr>
                    <w:t>13.6</w:t>
                  </w:r>
                </w:p>
              </w:tc>
              <w:tc>
                <w:tcPr>
                  <w:tcW w:w="600" w:type="dxa"/>
                  <w:vAlign w:val="center"/>
                </w:tcPr>
                <w:p>
                  <w:pPr>
                    <w:pStyle w:val="68"/>
                    <w:rPr>
                      <w:color w:val="auto"/>
                    </w:rPr>
                  </w:pPr>
                  <w:r>
                    <w:rPr>
                      <w:rFonts w:hint="eastAsia"/>
                      <w:color w:val="auto"/>
                    </w:rPr>
                    <w:t>134</w:t>
                  </w:r>
                </w:p>
              </w:tc>
              <w:tc>
                <w:tcPr>
                  <w:tcW w:w="625" w:type="dxa"/>
                  <w:vAlign w:val="center"/>
                </w:tcPr>
                <w:p>
                  <w:pPr>
                    <w:pStyle w:val="68"/>
                    <w:rPr>
                      <w:color w:val="auto"/>
                    </w:rPr>
                  </w:pPr>
                  <w:r>
                    <w:rPr>
                      <w:rFonts w:hint="eastAsia"/>
                      <w:color w:val="auto"/>
                    </w:rPr>
                    <w:t>96</w:t>
                  </w:r>
                </w:p>
              </w:tc>
              <w:tc>
                <w:tcPr>
                  <w:tcW w:w="613" w:type="dxa"/>
                  <w:vAlign w:val="center"/>
                </w:tcPr>
                <w:p>
                  <w:pPr>
                    <w:pStyle w:val="68"/>
                    <w:rPr>
                      <w:color w:val="auto"/>
                    </w:rPr>
                  </w:pPr>
                  <w:r>
                    <w:rPr>
                      <w:rFonts w:hint="eastAsia"/>
                      <w:color w:val="auto"/>
                    </w:rPr>
                    <w:t>10.7</w:t>
                  </w:r>
                </w:p>
              </w:tc>
              <w:tc>
                <w:tcPr>
                  <w:tcW w:w="612" w:type="dxa"/>
                  <w:vAlign w:val="center"/>
                </w:tcPr>
                <w:p>
                  <w:pPr>
                    <w:pStyle w:val="68"/>
                    <w:rPr>
                      <w:color w:val="auto"/>
                    </w:rPr>
                  </w:pPr>
                  <w:r>
                    <w:rPr>
                      <w:rFonts w:hint="eastAsia"/>
                      <w:color w:val="auto"/>
                    </w:rPr>
                    <w:t>17.8</w:t>
                  </w:r>
                </w:p>
              </w:tc>
              <w:tc>
                <w:tcPr>
                  <w:tcW w:w="625" w:type="dxa"/>
                  <w:vAlign w:val="center"/>
                </w:tcPr>
                <w:p>
                  <w:pPr>
                    <w:pStyle w:val="68"/>
                    <w:rPr>
                      <w:color w:val="auto"/>
                    </w:rPr>
                  </w:pPr>
                  <w:r>
                    <w:rPr>
                      <w:rFonts w:hint="eastAsia"/>
                      <w:color w:val="auto"/>
                    </w:rPr>
                    <w:t>1.17</w:t>
                  </w:r>
                </w:p>
              </w:tc>
              <w:tc>
                <w:tcPr>
                  <w:tcW w:w="763" w:type="dxa"/>
                  <w:vAlign w:val="center"/>
                </w:tcPr>
                <w:p>
                  <w:pPr>
                    <w:pStyle w:val="68"/>
                    <w:rPr>
                      <w:color w:val="auto"/>
                    </w:rPr>
                  </w:pPr>
                  <w:r>
                    <w:rPr>
                      <w:rFonts w:hint="eastAsia"/>
                      <w:color w:val="auto"/>
                    </w:rPr>
                    <w:t>28.4</w:t>
                  </w:r>
                </w:p>
              </w:tc>
              <w:tc>
                <w:tcPr>
                  <w:tcW w:w="790" w:type="dxa"/>
                  <w:vAlign w:val="center"/>
                </w:tcPr>
                <w:p>
                  <w:pPr>
                    <w:pStyle w:val="68"/>
                    <w:rPr>
                      <w:color w:val="auto"/>
                    </w:rPr>
                  </w:pPr>
                  <w:r>
                    <w:rPr>
                      <w:rFonts w:hint="eastAsia"/>
                      <w:color w:val="auto"/>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第四次</w:t>
                  </w:r>
                </w:p>
              </w:tc>
              <w:tc>
                <w:tcPr>
                  <w:tcW w:w="775" w:type="dxa"/>
                  <w:vAlign w:val="center"/>
                </w:tcPr>
                <w:p>
                  <w:pPr>
                    <w:pStyle w:val="68"/>
                    <w:rPr>
                      <w:color w:val="auto"/>
                    </w:rPr>
                  </w:pPr>
                  <w:r>
                    <w:rPr>
                      <w:rFonts w:hint="eastAsia"/>
                      <w:color w:val="auto"/>
                    </w:rPr>
                    <w:t>7.61</w:t>
                  </w:r>
                </w:p>
              </w:tc>
              <w:tc>
                <w:tcPr>
                  <w:tcW w:w="662" w:type="dxa"/>
                  <w:vAlign w:val="center"/>
                </w:tcPr>
                <w:p>
                  <w:pPr>
                    <w:pStyle w:val="68"/>
                    <w:rPr>
                      <w:color w:val="auto"/>
                    </w:rPr>
                  </w:pPr>
                  <w:r>
                    <w:rPr>
                      <w:rFonts w:hint="eastAsia"/>
                      <w:color w:val="auto"/>
                    </w:rPr>
                    <w:t>13.1</w:t>
                  </w:r>
                </w:p>
              </w:tc>
              <w:tc>
                <w:tcPr>
                  <w:tcW w:w="600" w:type="dxa"/>
                  <w:vAlign w:val="center"/>
                </w:tcPr>
                <w:p>
                  <w:pPr>
                    <w:pStyle w:val="68"/>
                    <w:rPr>
                      <w:color w:val="auto"/>
                    </w:rPr>
                  </w:pPr>
                  <w:r>
                    <w:rPr>
                      <w:rFonts w:hint="eastAsia"/>
                      <w:color w:val="auto"/>
                    </w:rPr>
                    <w:t>82</w:t>
                  </w:r>
                </w:p>
              </w:tc>
              <w:tc>
                <w:tcPr>
                  <w:tcW w:w="625" w:type="dxa"/>
                  <w:vAlign w:val="center"/>
                </w:tcPr>
                <w:p>
                  <w:pPr>
                    <w:pStyle w:val="68"/>
                    <w:rPr>
                      <w:color w:val="auto"/>
                    </w:rPr>
                  </w:pPr>
                  <w:r>
                    <w:rPr>
                      <w:rFonts w:hint="eastAsia"/>
                      <w:color w:val="auto"/>
                    </w:rPr>
                    <w:t>80</w:t>
                  </w:r>
                </w:p>
              </w:tc>
              <w:tc>
                <w:tcPr>
                  <w:tcW w:w="613" w:type="dxa"/>
                  <w:vAlign w:val="center"/>
                </w:tcPr>
                <w:p>
                  <w:pPr>
                    <w:pStyle w:val="68"/>
                    <w:rPr>
                      <w:color w:val="auto"/>
                    </w:rPr>
                  </w:pPr>
                  <w:r>
                    <w:rPr>
                      <w:rFonts w:hint="eastAsia"/>
                      <w:color w:val="auto"/>
                    </w:rPr>
                    <w:t>10.3</w:t>
                  </w:r>
                </w:p>
              </w:tc>
              <w:tc>
                <w:tcPr>
                  <w:tcW w:w="612" w:type="dxa"/>
                  <w:vAlign w:val="center"/>
                </w:tcPr>
                <w:p>
                  <w:pPr>
                    <w:pStyle w:val="68"/>
                    <w:rPr>
                      <w:color w:val="auto"/>
                    </w:rPr>
                  </w:pPr>
                  <w:r>
                    <w:rPr>
                      <w:rFonts w:hint="eastAsia"/>
                      <w:color w:val="auto"/>
                    </w:rPr>
                    <w:t>17.2</w:t>
                  </w:r>
                </w:p>
              </w:tc>
              <w:tc>
                <w:tcPr>
                  <w:tcW w:w="625" w:type="dxa"/>
                  <w:vAlign w:val="center"/>
                </w:tcPr>
                <w:p>
                  <w:pPr>
                    <w:pStyle w:val="68"/>
                    <w:rPr>
                      <w:color w:val="auto"/>
                    </w:rPr>
                  </w:pPr>
                  <w:r>
                    <w:rPr>
                      <w:rFonts w:hint="eastAsia"/>
                      <w:color w:val="auto"/>
                    </w:rPr>
                    <w:t>1.56</w:t>
                  </w:r>
                </w:p>
              </w:tc>
              <w:tc>
                <w:tcPr>
                  <w:tcW w:w="763" w:type="dxa"/>
                  <w:vAlign w:val="center"/>
                </w:tcPr>
                <w:p>
                  <w:pPr>
                    <w:pStyle w:val="68"/>
                    <w:rPr>
                      <w:color w:val="auto"/>
                    </w:rPr>
                  </w:pPr>
                  <w:r>
                    <w:rPr>
                      <w:rFonts w:hint="eastAsia"/>
                      <w:color w:val="auto"/>
                    </w:rPr>
                    <w:t>28.0</w:t>
                  </w:r>
                </w:p>
              </w:tc>
              <w:tc>
                <w:tcPr>
                  <w:tcW w:w="790" w:type="dxa"/>
                  <w:vAlign w:val="center"/>
                </w:tcPr>
                <w:p>
                  <w:pPr>
                    <w:pStyle w:val="68"/>
                    <w:rPr>
                      <w:color w:val="auto"/>
                    </w:rPr>
                  </w:pPr>
                  <w:r>
                    <w:rPr>
                      <w:rFonts w:hint="eastAsia"/>
                      <w:color w:val="auto"/>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平均值</w:t>
                  </w:r>
                </w:p>
              </w:tc>
              <w:tc>
                <w:tcPr>
                  <w:tcW w:w="775" w:type="dxa"/>
                  <w:vAlign w:val="center"/>
                </w:tcPr>
                <w:p>
                  <w:pPr>
                    <w:pStyle w:val="68"/>
                    <w:rPr>
                      <w:color w:val="auto"/>
                    </w:rPr>
                  </w:pPr>
                  <w:r>
                    <w:rPr>
                      <w:rFonts w:hint="eastAsia"/>
                      <w:color w:val="auto"/>
                    </w:rPr>
                    <w:t>7.43-7.76</w:t>
                  </w:r>
                </w:p>
              </w:tc>
              <w:tc>
                <w:tcPr>
                  <w:tcW w:w="662" w:type="dxa"/>
                  <w:vAlign w:val="center"/>
                </w:tcPr>
                <w:p>
                  <w:pPr>
                    <w:pStyle w:val="68"/>
                    <w:rPr>
                      <w:color w:val="auto"/>
                    </w:rPr>
                  </w:pPr>
                  <w:r>
                    <w:rPr>
                      <w:rFonts w:hint="eastAsia"/>
                      <w:color w:val="auto"/>
                    </w:rPr>
                    <w:t>13.1</w:t>
                  </w:r>
                </w:p>
              </w:tc>
              <w:tc>
                <w:tcPr>
                  <w:tcW w:w="600" w:type="dxa"/>
                  <w:vAlign w:val="center"/>
                </w:tcPr>
                <w:p>
                  <w:pPr>
                    <w:pStyle w:val="68"/>
                    <w:rPr>
                      <w:color w:val="auto"/>
                    </w:rPr>
                  </w:pPr>
                  <w:r>
                    <w:rPr>
                      <w:rFonts w:hint="eastAsia"/>
                      <w:color w:val="auto"/>
                    </w:rPr>
                    <w:t>121</w:t>
                  </w:r>
                </w:p>
              </w:tc>
              <w:tc>
                <w:tcPr>
                  <w:tcW w:w="625" w:type="dxa"/>
                  <w:vAlign w:val="center"/>
                </w:tcPr>
                <w:p>
                  <w:pPr>
                    <w:pStyle w:val="68"/>
                    <w:rPr>
                      <w:color w:val="auto"/>
                    </w:rPr>
                  </w:pPr>
                  <w:r>
                    <w:rPr>
                      <w:rFonts w:hint="eastAsia"/>
                      <w:color w:val="auto"/>
                    </w:rPr>
                    <w:t>103</w:t>
                  </w:r>
                </w:p>
              </w:tc>
              <w:tc>
                <w:tcPr>
                  <w:tcW w:w="613" w:type="dxa"/>
                  <w:vAlign w:val="center"/>
                </w:tcPr>
                <w:p>
                  <w:pPr>
                    <w:pStyle w:val="68"/>
                    <w:rPr>
                      <w:color w:val="auto"/>
                    </w:rPr>
                  </w:pPr>
                  <w:r>
                    <w:rPr>
                      <w:rFonts w:hint="eastAsia"/>
                      <w:color w:val="auto"/>
                    </w:rPr>
                    <w:t>10.6</w:t>
                  </w:r>
                </w:p>
              </w:tc>
              <w:tc>
                <w:tcPr>
                  <w:tcW w:w="612" w:type="dxa"/>
                  <w:vAlign w:val="center"/>
                </w:tcPr>
                <w:p>
                  <w:pPr>
                    <w:pStyle w:val="68"/>
                    <w:rPr>
                      <w:color w:val="auto"/>
                    </w:rPr>
                  </w:pPr>
                  <w:r>
                    <w:rPr>
                      <w:rFonts w:hint="eastAsia"/>
                      <w:color w:val="auto"/>
                    </w:rPr>
                    <w:t>21.0</w:t>
                  </w:r>
                </w:p>
              </w:tc>
              <w:tc>
                <w:tcPr>
                  <w:tcW w:w="625" w:type="dxa"/>
                  <w:vAlign w:val="center"/>
                </w:tcPr>
                <w:p>
                  <w:pPr>
                    <w:pStyle w:val="68"/>
                    <w:rPr>
                      <w:color w:val="auto"/>
                    </w:rPr>
                  </w:pPr>
                  <w:r>
                    <w:rPr>
                      <w:rFonts w:hint="eastAsia"/>
                      <w:color w:val="auto"/>
                    </w:rPr>
                    <w:t>1.40</w:t>
                  </w:r>
                </w:p>
              </w:tc>
              <w:tc>
                <w:tcPr>
                  <w:tcW w:w="763" w:type="dxa"/>
                  <w:vAlign w:val="center"/>
                </w:tcPr>
                <w:p>
                  <w:pPr>
                    <w:pStyle w:val="68"/>
                    <w:rPr>
                      <w:color w:val="auto"/>
                    </w:rPr>
                  </w:pPr>
                  <w:r>
                    <w:rPr>
                      <w:rFonts w:hint="eastAsia"/>
                      <w:color w:val="auto"/>
                    </w:rPr>
                    <w:t>27.8</w:t>
                  </w:r>
                </w:p>
              </w:tc>
              <w:tc>
                <w:tcPr>
                  <w:tcW w:w="790" w:type="dxa"/>
                  <w:vAlign w:val="center"/>
                </w:tcPr>
                <w:p>
                  <w:pPr>
                    <w:pStyle w:val="68"/>
                    <w:rPr>
                      <w:color w:val="auto"/>
                    </w:rPr>
                  </w:pPr>
                  <w:r>
                    <w:rPr>
                      <w:rFonts w:hint="eastAsia"/>
                      <w:color w:val="auto"/>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restart"/>
                  <w:vAlign w:val="center"/>
                </w:tcPr>
                <w:p>
                  <w:pPr>
                    <w:pStyle w:val="68"/>
                    <w:rPr>
                      <w:color w:val="auto"/>
                    </w:rPr>
                  </w:pPr>
                  <w:r>
                    <w:rPr>
                      <w:rFonts w:hint="eastAsia"/>
                      <w:color w:val="auto"/>
                    </w:rPr>
                    <w:t>厂区污水处理设施出口W1</w:t>
                  </w:r>
                </w:p>
              </w:tc>
              <w:tc>
                <w:tcPr>
                  <w:tcW w:w="818" w:type="dxa"/>
                  <w:vAlign w:val="center"/>
                </w:tcPr>
                <w:p>
                  <w:pPr>
                    <w:pStyle w:val="68"/>
                    <w:rPr>
                      <w:color w:val="auto"/>
                    </w:rPr>
                  </w:pPr>
                  <w:r>
                    <w:rPr>
                      <w:rFonts w:hint="eastAsia"/>
                      <w:color w:val="auto"/>
                    </w:rPr>
                    <w:t>第一次</w:t>
                  </w:r>
                </w:p>
              </w:tc>
              <w:tc>
                <w:tcPr>
                  <w:tcW w:w="775" w:type="dxa"/>
                  <w:vAlign w:val="center"/>
                </w:tcPr>
                <w:p>
                  <w:pPr>
                    <w:pStyle w:val="68"/>
                    <w:rPr>
                      <w:color w:val="auto"/>
                    </w:rPr>
                  </w:pPr>
                  <w:r>
                    <w:rPr>
                      <w:rFonts w:hint="eastAsia"/>
                      <w:color w:val="auto"/>
                    </w:rPr>
                    <w:t>7.81</w:t>
                  </w:r>
                </w:p>
              </w:tc>
              <w:tc>
                <w:tcPr>
                  <w:tcW w:w="662" w:type="dxa"/>
                  <w:vAlign w:val="center"/>
                </w:tcPr>
                <w:p>
                  <w:pPr>
                    <w:pStyle w:val="68"/>
                    <w:rPr>
                      <w:color w:val="auto"/>
                    </w:rPr>
                  </w:pPr>
                  <w:r>
                    <w:rPr>
                      <w:rFonts w:hint="eastAsia"/>
                      <w:color w:val="auto"/>
                    </w:rPr>
                    <w:t>11.1</w:t>
                  </w:r>
                </w:p>
              </w:tc>
              <w:tc>
                <w:tcPr>
                  <w:tcW w:w="600" w:type="dxa"/>
                  <w:vAlign w:val="center"/>
                </w:tcPr>
                <w:p>
                  <w:pPr>
                    <w:pStyle w:val="68"/>
                    <w:rPr>
                      <w:color w:val="auto"/>
                    </w:rPr>
                  </w:pPr>
                  <w:r>
                    <w:rPr>
                      <w:rFonts w:hint="eastAsia"/>
                      <w:color w:val="auto"/>
                    </w:rPr>
                    <w:t>22</w:t>
                  </w:r>
                </w:p>
              </w:tc>
              <w:tc>
                <w:tcPr>
                  <w:tcW w:w="625" w:type="dxa"/>
                  <w:vAlign w:val="center"/>
                </w:tcPr>
                <w:p>
                  <w:pPr>
                    <w:pStyle w:val="68"/>
                    <w:rPr>
                      <w:color w:val="auto"/>
                    </w:rPr>
                  </w:pPr>
                  <w:r>
                    <w:rPr>
                      <w:rFonts w:hint="eastAsia"/>
                      <w:color w:val="auto"/>
                    </w:rPr>
                    <w:t>42</w:t>
                  </w:r>
                </w:p>
              </w:tc>
              <w:tc>
                <w:tcPr>
                  <w:tcW w:w="613" w:type="dxa"/>
                  <w:vAlign w:val="center"/>
                </w:tcPr>
                <w:p>
                  <w:pPr>
                    <w:pStyle w:val="68"/>
                    <w:rPr>
                      <w:color w:val="auto"/>
                    </w:rPr>
                  </w:pPr>
                  <w:r>
                    <w:rPr>
                      <w:rFonts w:hint="eastAsia"/>
                      <w:color w:val="auto"/>
                    </w:rPr>
                    <w:t>1.65</w:t>
                  </w:r>
                </w:p>
              </w:tc>
              <w:tc>
                <w:tcPr>
                  <w:tcW w:w="612" w:type="dxa"/>
                  <w:vAlign w:val="center"/>
                </w:tcPr>
                <w:p>
                  <w:pPr>
                    <w:pStyle w:val="68"/>
                    <w:rPr>
                      <w:color w:val="auto"/>
                    </w:rPr>
                  </w:pPr>
                  <w:r>
                    <w:rPr>
                      <w:rFonts w:hint="eastAsia"/>
                      <w:color w:val="auto"/>
                    </w:rPr>
                    <w:t>14.8</w:t>
                  </w:r>
                </w:p>
              </w:tc>
              <w:tc>
                <w:tcPr>
                  <w:tcW w:w="625" w:type="dxa"/>
                  <w:vAlign w:val="center"/>
                </w:tcPr>
                <w:p>
                  <w:pPr>
                    <w:pStyle w:val="68"/>
                    <w:rPr>
                      <w:color w:val="auto"/>
                    </w:rPr>
                  </w:pPr>
                  <w:r>
                    <w:rPr>
                      <w:rFonts w:hint="eastAsia"/>
                      <w:color w:val="auto"/>
                    </w:rPr>
                    <w:t>0.81</w:t>
                  </w:r>
                </w:p>
              </w:tc>
              <w:tc>
                <w:tcPr>
                  <w:tcW w:w="763" w:type="dxa"/>
                  <w:vAlign w:val="center"/>
                </w:tcPr>
                <w:p>
                  <w:pPr>
                    <w:pStyle w:val="68"/>
                    <w:rPr>
                      <w:color w:val="auto"/>
                    </w:rPr>
                  </w:pPr>
                  <w:r>
                    <w:rPr>
                      <w:rFonts w:hint="eastAsia"/>
                      <w:color w:val="auto"/>
                    </w:rPr>
                    <w:t>11.2</w:t>
                  </w:r>
                </w:p>
              </w:tc>
              <w:tc>
                <w:tcPr>
                  <w:tcW w:w="790" w:type="dxa"/>
                  <w:vAlign w:val="center"/>
                </w:tcPr>
                <w:p>
                  <w:pPr>
                    <w:pStyle w:val="68"/>
                    <w:rPr>
                      <w:color w:val="auto"/>
                    </w:rPr>
                  </w:pPr>
                  <w:r>
                    <w:rPr>
                      <w:rFonts w:hint="eastAsia"/>
                      <w:color w:val="auto"/>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第二次</w:t>
                  </w:r>
                </w:p>
              </w:tc>
              <w:tc>
                <w:tcPr>
                  <w:tcW w:w="775" w:type="dxa"/>
                  <w:vAlign w:val="center"/>
                </w:tcPr>
                <w:p>
                  <w:pPr>
                    <w:pStyle w:val="68"/>
                    <w:rPr>
                      <w:color w:val="auto"/>
                    </w:rPr>
                  </w:pPr>
                  <w:r>
                    <w:rPr>
                      <w:rFonts w:hint="eastAsia"/>
                      <w:color w:val="auto"/>
                    </w:rPr>
                    <w:t>7.78</w:t>
                  </w:r>
                </w:p>
              </w:tc>
              <w:tc>
                <w:tcPr>
                  <w:tcW w:w="662" w:type="dxa"/>
                  <w:vAlign w:val="center"/>
                </w:tcPr>
                <w:p>
                  <w:pPr>
                    <w:pStyle w:val="68"/>
                    <w:rPr>
                      <w:color w:val="auto"/>
                    </w:rPr>
                  </w:pPr>
                  <w:r>
                    <w:rPr>
                      <w:rFonts w:hint="eastAsia"/>
                      <w:color w:val="auto"/>
                    </w:rPr>
                    <w:t>11.4</w:t>
                  </w:r>
                </w:p>
              </w:tc>
              <w:tc>
                <w:tcPr>
                  <w:tcW w:w="600" w:type="dxa"/>
                  <w:vAlign w:val="center"/>
                </w:tcPr>
                <w:p>
                  <w:pPr>
                    <w:pStyle w:val="68"/>
                    <w:rPr>
                      <w:color w:val="auto"/>
                    </w:rPr>
                  </w:pPr>
                  <w:r>
                    <w:rPr>
                      <w:rFonts w:hint="eastAsia"/>
                      <w:color w:val="auto"/>
                    </w:rPr>
                    <w:t>26</w:t>
                  </w:r>
                </w:p>
              </w:tc>
              <w:tc>
                <w:tcPr>
                  <w:tcW w:w="625" w:type="dxa"/>
                  <w:vAlign w:val="center"/>
                </w:tcPr>
                <w:p>
                  <w:pPr>
                    <w:pStyle w:val="68"/>
                    <w:rPr>
                      <w:color w:val="auto"/>
                    </w:rPr>
                  </w:pPr>
                  <w:r>
                    <w:rPr>
                      <w:rFonts w:hint="eastAsia"/>
                      <w:color w:val="auto"/>
                    </w:rPr>
                    <w:t>43</w:t>
                  </w:r>
                </w:p>
              </w:tc>
              <w:tc>
                <w:tcPr>
                  <w:tcW w:w="613" w:type="dxa"/>
                  <w:vAlign w:val="center"/>
                </w:tcPr>
                <w:p>
                  <w:pPr>
                    <w:pStyle w:val="68"/>
                    <w:rPr>
                      <w:color w:val="auto"/>
                    </w:rPr>
                  </w:pPr>
                  <w:r>
                    <w:rPr>
                      <w:rFonts w:hint="eastAsia"/>
                      <w:color w:val="auto"/>
                    </w:rPr>
                    <w:t>1.61</w:t>
                  </w:r>
                </w:p>
              </w:tc>
              <w:tc>
                <w:tcPr>
                  <w:tcW w:w="612" w:type="dxa"/>
                  <w:vAlign w:val="center"/>
                </w:tcPr>
                <w:p>
                  <w:pPr>
                    <w:pStyle w:val="68"/>
                    <w:rPr>
                      <w:color w:val="auto"/>
                    </w:rPr>
                  </w:pPr>
                  <w:r>
                    <w:rPr>
                      <w:rFonts w:hint="eastAsia"/>
                      <w:color w:val="auto"/>
                    </w:rPr>
                    <w:t>15.4</w:t>
                  </w:r>
                </w:p>
              </w:tc>
              <w:tc>
                <w:tcPr>
                  <w:tcW w:w="625" w:type="dxa"/>
                  <w:vAlign w:val="center"/>
                </w:tcPr>
                <w:p>
                  <w:pPr>
                    <w:pStyle w:val="68"/>
                    <w:rPr>
                      <w:color w:val="auto"/>
                    </w:rPr>
                  </w:pPr>
                  <w:r>
                    <w:rPr>
                      <w:rFonts w:hint="eastAsia"/>
                      <w:color w:val="auto"/>
                    </w:rPr>
                    <w:t>0.73</w:t>
                  </w:r>
                </w:p>
              </w:tc>
              <w:tc>
                <w:tcPr>
                  <w:tcW w:w="763" w:type="dxa"/>
                  <w:vAlign w:val="center"/>
                </w:tcPr>
                <w:p>
                  <w:pPr>
                    <w:pStyle w:val="68"/>
                    <w:rPr>
                      <w:color w:val="auto"/>
                    </w:rPr>
                  </w:pPr>
                  <w:r>
                    <w:rPr>
                      <w:rFonts w:hint="eastAsia"/>
                      <w:color w:val="auto"/>
                    </w:rPr>
                    <w:t>10.1</w:t>
                  </w:r>
                </w:p>
              </w:tc>
              <w:tc>
                <w:tcPr>
                  <w:tcW w:w="790" w:type="dxa"/>
                  <w:vAlign w:val="center"/>
                </w:tcPr>
                <w:p>
                  <w:pPr>
                    <w:pStyle w:val="68"/>
                    <w:rPr>
                      <w:color w:val="auto"/>
                    </w:rPr>
                  </w:pPr>
                  <w:r>
                    <w:rPr>
                      <w:rFonts w:hint="eastAsia"/>
                      <w:color w:val="auto"/>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第三次</w:t>
                  </w:r>
                </w:p>
              </w:tc>
              <w:tc>
                <w:tcPr>
                  <w:tcW w:w="775" w:type="dxa"/>
                  <w:vAlign w:val="center"/>
                </w:tcPr>
                <w:p>
                  <w:pPr>
                    <w:pStyle w:val="68"/>
                    <w:rPr>
                      <w:color w:val="auto"/>
                    </w:rPr>
                  </w:pPr>
                  <w:r>
                    <w:rPr>
                      <w:rFonts w:hint="eastAsia"/>
                      <w:color w:val="auto"/>
                    </w:rPr>
                    <w:t>7.81</w:t>
                  </w:r>
                </w:p>
              </w:tc>
              <w:tc>
                <w:tcPr>
                  <w:tcW w:w="662" w:type="dxa"/>
                  <w:vAlign w:val="center"/>
                </w:tcPr>
                <w:p>
                  <w:pPr>
                    <w:pStyle w:val="68"/>
                    <w:rPr>
                      <w:color w:val="auto"/>
                    </w:rPr>
                  </w:pPr>
                  <w:r>
                    <w:rPr>
                      <w:rFonts w:hint="eastAsia"/>
                      <w:color w:val="auto"/>
                    </w:rPr>
                    <w:t>12.2</w:t>
                  </w:r>
                </w:p>
              </w:tc>
              <w:tc>
                <w:tcPr>
                  <w:tcW w:w="600" w:type="dxa"/>
                  <w:vAlign w:val="center"/>
                </w:tcPr>
                <w:p>
                  <w:pPr>
                    <w:pStyle w:val="68"/>
                    <w:rPr>
                      <w:color w:val="auto"/>
                    </w:rPr>
                  </w:pPr>
                  <w:r>
                    <w:rPr>
                      <w:rFonts w:hint="eastAsia"/>
                      <w:color w:val="auto"/>
                    </w:rPr>
                    <w:t>24</w:t>
                  </w:r>
                </w:p>
              </w:tc>
              <w:tc>
                <w:tcPr>
                  <w:tcW w:w="625" w:type="dxa"/>
                  <w:vAlign w:val="center"/>
                </w:tcPr>
                <w:p>
                  <w:pPr>
                    <w:pStyle w:val="68"/>
                    <w:rPr>
                      <w:color w:val="auto"/>
                    </w:rPr>
                  </w:pPr>
                  <w:r>
                    <w:rPr>
                      <w:rFonts w:hint="eastAsia"/>
                      <w:color w:val="auto"/>
                    </w:rPr>
                    <w:t>45</w:t>
                  </w:r>
                </w:p>
              </w:tc>
              <w:tc>
                <w:tcPr>
                  <w:tcW w:w="613" w:type="dxa"/>
                  <w:vAlign w:val="center"/>
                </w:tcPr>
                <w:p>
                  <w:pPr>
                    <w:pStyle w:val="68"/>
                    <w:rPr>
                      <w:color w:val="auto"/>
                    </w:rPr>
                  </w:pPr>
                  <w:r>
                    <w:rPr>
                      <w:rFonts w:hint="eastAsia"/>
                      <w:color w:val="auto"/>
                    </w:rPr>
                    <w:t>1.58</w:t>
                  </w:r>
                </w:p>
              </w:tc>
              <w:tc>
                <w:tcPr>
                  <w:tcW w:w="612" w:type="dxa"/>
                  <w:vAlign w:val="center"/>
                </w:tcPr>
                <w:p>
                  <w:pPr>
                    <w:pStyle w:val="68"/>
                    <w:rPr>
                      <w:color w:val="auto"/>
                    </w:rPr>
                  </w:pPr>
                  <w:r>
                    <w:rPr>
                      <w:rFonts w:hint="eastAsia"/>
                      <w:color w:val="auto"/>
                    </w:rPr>
                    <w:t>15.5</w:t>
                  </w:r>
                </w:p>
              </w:tc>
              <w:tc>
                <w:tcPr>
                  <w:tcW w:w="625" w:type="dxa"/>
                  <w:vAlign w:val="center"/>
                </w:tcPr>
                <w:p>
                  <w:pPr>
                    <w:pStyle w:val="68"/>
                    <w:rPr>
                      <w:color w:val="auto"/>
                    </w:rPr>
                  </w:pPr>
                  <w:r>
                    <w:rPr>
                      <w:rFonts w:hint="eastAsia"/>
                      <w:color w:val="auto"/>
                    </w:rPr>
                    <w:t>0.70</w:t>
                  </w:r>
                </w:p>
              </w:tc>
              <w:tc>
                <w:tcPr>
                  <w:tcW w:w="763" w:type="dxa"/>
                  <w:vAlign w:val="center"/>
                </w:tcPr>
                <w:p>
                  <w:pPr>
                    <w:pStyle w:val="68"/>
                    <w:rPr>
                      <w:color w:val="auto"/>
                    </w:rPr>
                  </w:pPr>
                  <w:r>
                    <w:rPr>
                      <w:rFonts w:hint="eastAsia"/>
                      <w:color w:val="auto"/>
                    </w:rPr>
                    <w:t>9.8</w:t>
                  </w:r>
                </w:p>
              </w:tc>
              <w:tc>
                <w:tcPr>
                  <w:tcW w:w="790" w:type="dxa"/>
                  <w:vAlign w:val="center"/>
                </w:tcPr>
                <w:p>
                  <w:pPr>
                    <w:pStyle w:val="68"/>
                    <w:rPr>
                      <w:color w:val="auto"/>
                    </w:rPr>
                  </w:pPr>
                  <w:r>
                    <w:rPr>
                      <w:rFonts w:hint="eastAsia"/>
                      <w:color w:val="auto"/>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第四次</w:t>
                  </w:r>
                </w:p>
              </w:tc>
              <w:tc>
                <w:tcPr>
                  <w:tcW w:w="775" w:type="dxa"/>
                  <w:vAlign w:val="center"/>
                </w:tcPr>
                <w:p>
                  <w:pPr>
                    <w:pStyle w:val="68"/>
                    <w:rPr>
                      <w:color w:val="auto"/>
                    </w:rPr>
                  </w:pPr>
                  <w:r>
                    <w:rPr>
                      <w:rFonts w:hint="eastAsia"/>
                      <w:color w:val="auto"/>
                    </w:rPr>
                    <w:t>7.91</w:t>
                  </w:r>
                </w:p>
              </w:tc>
              <w:tc>
                <w:tcPr>
                  <w:tcW w:w="662" w:type="dxa"/>
                  <w:vAlign w:val="center"/>
                </w:tcPr>
                <w:p>
                  <w:pPr>
                    <w:pStyle w:val="68"/>
                    <w:rPr>
                      <w:color w:val="auto"/>
                    </w:rPr>
                  </w:pPr>
                  <w:r>
                    <w:rPr>
                      <w:rFonts w:hint="eastAsia"/>
                      <w:color w:val="auto"/>
                    </w:rPr>
                    <w:t>11.8</w:t>
                  </w:r>
                </w:p>
              </w:tc>
              <w:tc>
                <w:tcPr>
                  <w:tcW w:w="600" w:type="dxa"/>
                  <w:vAlign w:val="center"/>
                </w:tcPr>
                <w:p>
                  <w:pPr>
                    <w:pStyle w:val="68"/>
                    <w:rPr>
                      <w:color w:val="auto"/>
                    </w:rPr>
                  </w:pPr>
                  <w:r>
                    <w:rPr>
                      <w:rFonts w:hint="eastAsia"/>
                      <w:color w:val="auto"/>
                    </w:rPr>
                    <w:t>33</w:t>
                  </w:r>
                </w:p>
              </w:tc>
              <w:tc>
                <w:tcPr>
                  <w:tcW w:w="625" w:type="dxa"/>
                  <w:vAlign w:val="center"/>
                </w:tcPr>
                <w:p>
                  <w:pPr>
                    <w:pStyle w:val="68"/>
                    <w:rPr>
                      <w:color w:val="auto"/>
                    </w:rPr>
                  </w:pPr>
                  <w:r>
                    <w:rPr>
                      <w:rFonts w:hint="eastAsia"/>
                      <w:color w:val="auto"/>
                    </w:rPr>
                    <w:t>46</w:t>
                  </w:r>
                </w:p>
              </w:tc>
              <w:tc>
                <w:tcPr>
                  <w:tcW w:w="613" w:type="dxa"/>
                  <w:vAlign w:val="center"/>
                </w:tcPr>
                <w:p>
                  <w:pPr>
                    <w:pStyle w:val="68"/>
                    <w:rPr>
                      <w:color w:val="auto"/>
                    </w:rPr>
                  </w:pPr>
                  <w:r>
                    <w:rPr>
                      <w:rFonts w:hint="eastAsia"/>
                      <w:color w:val="auto"/>
                    </w:rPr>
                    <w:t>1.54</w:t>
                  </w:r>
                </w:p>
              </w:tc>
              <w:tc>
                <w:tcPr>
                  <w:tcW w:w="612" w:type="dxa"/>
                  <w:vAlign w:val="center"/>
                </w:tcPr>
                <w:p>
                  <w:pPr>
                    <w:pStyle w:val="68"/>
                    <w:rPr>
                      <w:color w:val="auto"/>
                    </w:rPr>
                  </w:pPr>
                  <w:r>
                    <w:rPr>
                      <w:rFonts w:hint="eastAsia"/>
                      <w:color w:val="auto"/>
                    </w:rPr>
                    <w:t>14.0</w:t>
                  </w:r>
                </w:p>
              </w:tc>
              <w:tc>
                <w:tcPr>
                  <w:tcW w:w="625" w:type="dxa"/>
                  <w:vAlign w:val="center"/>
                </w:tcPr>
                <w:p>
                  <w:pPr>
                    <w:pStyle w:val="68"/>
                    <w:rPr>
                      <w:color w:val="auto"/>
                    </w:rPr>
                  </w:pPr>
                  <w:r>
                    <w:rPr>
                      <w:rFonts w:hint="eastAsia"/>
                      <w:color w:val="auto"/>
                    </w:rPr>
                    <w:t>0.68</w:t>
                  </w:r>
                </w:p>
              </w:tc>
              <w:tc>
                <w:tcPr>
                  <w:tcW w:w="763" w:type="dxa"/>
                  <w:vAlign w:val="center"/>
                </w:tcPr>
                <w:p>
                  <w:pPr>
                    <w:pStyle w:val="68"/>
                    <w:rPr>
                      <w:color w:val="auto"/>
                    </w:rPr>
                  </w:pPr>
                  <w:r>
                    <w:rPr>
                      <w:rFonts w:hint="eastAsia"/>
                      <w:color w:val="auto"/>
                    </w:rPr>
                    <w:t>11.5</w:t>
                  </w:r>
                </w:p>
              </w:tc>
              <w:tc>
                <w:tcPr>
                  <w:tcW w:w="790" w:type="dxa"/>
                  <w:vAlign w:val="center"/>
                </w:tcPr>
                <w:p>
                  <w:pPr>
                    <w:pStyle w:val="68"/>
                    <w:rPr>
                      <w:color w:val="auto"/>
                    </w:rPr>
                  </w:pPr>
                  <w:r>
                    <w:rPr>
                      <w:rFonts w:hint="eastAsia"/>
                      <w:color w:val="auto"/>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平均值</w:t>
                  </w:r>
                </w:p>
              </w:tc>
              <w:tc>
                <w:tcPr>
                  <w:tcW w:w="775" w:type="dxa"/>
                  <w:vAlign w:val="center"/>
                </w:tcPr>
                <w:p>
                  <w:pPr>
                    <w:pStyle w:val="68"/>
                    <w:rPr>
                      <w:color w:val="auto"/>
                    </w:rPr>
                  </w:pPr>
                  <w:r>
                    <w:rPr>
                      <w:rFonts w:hint="eastAsia"/>
                      <w:color w:val="auto"/>
                    </w:rPr>
                    <w:t>7.78-7.91</w:t>
                  </w:r>
                </w:p>
              </w:tc>
              <w:tc>
                <w:tcPr>
                  <w:tcW w:w="662" w:type="dxa"/>
                  <w:vAlign w:val="center"/>
                </w:tcPr>
                <w:p>
                  <w:pPr>
                    <w:pStyle w:val="68"/>
                    <w:rPr>
                      <w:color w:val="auto"/>
                    </w:rPr>
                  </w:pPr>
                  <w:r>
                    <w:rPr>
                      <w:rFonts w:hint="eastAsia"/>
                      <w:color w:val="auto"/>
                    </w:rPr>
                    <w:t>11.6</w:t>
                  </w:r>
                </w:p>
              </w:tc>
              <w:tc>
                <w:tcPr>
                  <w:tcW w:w="600" w:type="dxa"/>
                  <w:vAlign w:val="center"/>
                </w:tcPr>
                <w:p>
                  <w:pPr>
                    <w:pStyle w:val="68"/>
                    <w:rPr>
                      <w:color w:val="auto"/>
                    </w:rPr>
                  </w:pPr>
                  <w:r>
                    <w:rPr>
                      <w:rFonts w:hint="eastAsia"/>
                      <w:color w:val="auto"/>
                    </w:rPr>
                    <w:t>26</w:t>
                  </w:r>
                </w:p>
              </w:tc>
              <w:tc>
                <w:tcPr>
                  <w:tcW w:w="625" w:type="dxa"/>
                  <w:vAlign w:val="center"/>
                </w:tcPr>
                <w:p>
                  <w:pPr>
                    <w:pStyle w:val="68"/>
                    <w:rPr>
                      <w:color w:val="auto"/>
                    </w:rPr>
                  </w:pPr>
                  <w:r>
                    <w:rPr>
                      <w:rFonts w:hint="eastAsia"/>
                      <w:color w:val="auto"/>
                    </w:rPr>
                    <w:t>44</w:t>
                  </w:r>
                </w:p>
              </w:tc>
              <w:tc>
                <w:tcPr>
                  <w:tcW w:w="613" w:type="dxa"/>
                  <w:vAlign w:val="center"/>
                </w:tcPr>
                <w:p>
                  <w:pPr>
                    <w:pStyle w:val="68"/>
                    <w:rPr>
                      <w:color w:val="auto"/>
                    </w:rPr>
                  </w:pPr>
                  <w:r>
                    <w:rPr>
                      <w:rFonts w:hint="eastAsia"/>
                      <w:color w:val="auto"/>
                    </w:rPr>
                    <w:t>1.6</w:t>
                  </w:r>
                </w:p>
              </w:tc>
              <w:tc>
                <w:tcPr>
                  <w:tcW w:w="612" w:type="dxa"/>
                  <w:vAlign w:val="center"/>
                </w:tcPr>
                <w:p>
                  <w:pPr>
                    <w:pStyle w:val="68"/>
                    <w:rPr>
                      <w:color w:val="auto"/>
                    </w:rPr>
                  </w:pPr>
                  <w:r>
                    <w:rPr>
                      <w:rFonts w:hint="eastAsia"/>
                      <w:color w:val="auto"/>
                    </w:rPr>
                    <w:t>14.9</w:t>
                  </w:r>
                </w:p>
              </w:tc>
              <w:tc>
                <w:tcPr>
                  <w:tcW w:w="625" w:type="dxa"/>
                  <w:vAlign w:val="center"/>
                </w:tcPr>
                <w:p>
                  <w:pPr>
                    <w:pStyle w:val="68"/>
                    <w:rPr>
                      <w:color w:val="auto"/>
                    </w:rPr>
                  </w:pPr>
                  <w:r>
                    <w:rPr>
                      <w:rFonts w:hint="eastAsia"/>
                      <w:color w:val="auto"/>
                    </w:rPr>
                    <w:t>0.73</w:t>
                  </w:r>
                </w:p>
              </w:tc>
              <w:tc>
                <w:tcPr>
                  <w:tcW w:w="763" w:type="dxa"/>
                  <w:vAlign w:val="center"/>
                </w:tcPr>
                <w:p>
                  <w:pPr>
                    <w:pStyle w:val="68"/>
                    <w:rPr>
                      <w:color w:val="auto"/>
                    </w:rPr>
                  </w:pPr>
                  <w:r>
                    <w:rPr>
                      <w:rFonts w:hint="eastAsia"/>
                      <w:color w:val="auto"/>
                    </w:rPr>
                    <w:t>10.7</w:t>
                  </w:r>
                </w:p>
              </w:tc>
              <w:tc>
                <w:tcPr>
                  <w:tcW w:w="790" w:type="dxa"/>
                  <w:vAlign w:val="center"/>
                </w:tcPr>
                <w:p>
                  <w:pPr>
                    <w:pStyle w:val="68"/>
                    <w:rPr>
                      <w:color w:val="auto"/>
                    </w:rPr>
                  </w:pPr>
                  <w:r>
                    <w:rPr>
                      <w:rFonts w:hint="eastAsia"/>
                      <w:color w:val="auto"/>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restart"/>
                  <w:vAlign w:val="center"/>
                </w:tcPr>
                <w:p>
                  <w:pPr>
                    <w:pStyle w:val="68"/>
                    <w:rPr>
                      <w:color w:val="auto"/>
                    </w:rPr>
                  </w:pPr>
                  <w:r>
                    <w:rPr>
                      <w:rFonts w:hint="eastAsia"/>
                      <w:color w:val="auto"/>
                    </w:rPr>
                    <w:t>2019.12.04</w:t>
                  </w:r>
                </w:p>
              </w:tc>
              <w:tc>
                <w:tcPr>
                  <w:tcW w:w="757" w:type="dxa"/>
                  <w:vMerge w:val="restart"/>
                  <w:vAlign w:val="center"/>
                </w:tcPr>
                <w:p>
                  <w:pPr>
                    <w:pStyle w:val="68"/>
                    <w:rPr>
                      <w:color w:val="auto"/>
                    </w:rPr>
                  </w:pPr>
                  <w:r>
                    <w:rPr>
                      <w:rFonts w:hint="eastAsia"/>
                      <w:color w:val="auto"/>
                    </w:rPr>
                    <w:t>厂区污水处理设施进口W2</w:t>
                  </w:r>
                </w:p>
              </w:tc>
              <w:tc>
                <w:tcPr>
                  <w:tcW w:w="818" w:type="dxa"/>
                  <w:vAlign w:val="center"/>
                </w:tcPr>
                <w:p>
                  <w:pPr>
                    <w:pStyle w:val="68"/>
                    <w:rPr>
                      <w:color w:val="auto"/>
                    </w:rPr>
                  </w:pPr>
                  <w:r>
                    <w:rPr>
                      <w:rFonts w:hint="eastAsia"/>
                      <w:color w:val="auto"/>
                    </w:rPr>
                    <w:t>第一次</w:t>
                  </w:r>
                </w:p>
              </w:tc>
              <w:tc>
                <w:tcPr>
                  <w:tcW w:w="775" w:type="dxa"/>
                  <w:vAlign w:val="center"/>
                </w:tcPr>
                <w:p>
                  <w:pPr>
                    <w:pStyle w:val="68"/>
                    <w:rPr>
                      <w:color w:val="auto"/>
                    </w:rPr>
                  </w:pPr>
                  <w:r>
                    <w:rPr>
                      <w:rFonts w:hint="eastAsia"/>
                      <w:color w:val="auto"/>
                    </w:rPr>
                    <w:t>7.51</w:t>
                  </w:r>
                </w:p>
              </w:tc>
              <w:tc>
                <w:tcPr>
                  <w:tcW w:w="662" w:type="dxa"/>
                  <w:vAlign w:val="center"/>
                </w:tcPr>
                <w:p>
                  <w:pPr>
                    <w:pStyle w:val="68"/>
                    <w:rPr>
                      <w:color w:val="auto"/>
                    </w:rPr>
                  </w:pPr>
                  <w:r>
                    <w:rPr>
                      <w:rFonts w:hint="eastAsia"/>
                      <w:color w:val="auto"/>
                    </w:rPr>
                    <w:t>12.6</w:t>
                  </w:r>
                </w:p>
              </w:tc>
              <w:tc>
                <w:tcPr>
                  <w:tcW w:w="600" w:type="dxa"/>
                  <w:vAlign w:val="center"/>
                </w:tcPr>
                <w:p>
                  <w:pPr>
                    <w:pStyle w:val="68"/>
                    <w:rPr>
                      <w:color w:val="auto"/>
                    </w:rPr>
                  </w:pPr>
                  <w:r>
                    <w:rPr>
                      <w:rFonts w:hint="eastAsia"/>
                      <w:color w:val="auto"/>
                    </w:rPr>
                    <w:t>152</w:t>
                  </w:r>
                </w:p>
              </w:tc>
              <w:tc>
                <w:tcPr>
                  <w:tcW w:w="625" w:type="dxa"/>
                  <w:vAlign w:val="center"/>
                </w:tcPr>
                <w:p>
                  <w:pPr>
                    <w:pStyle w:val="68"/>
                    <w:rPr>
                      <w:color w:val="auto"/>
                    </w:rPr>
                  </w:pPr>
                  <w:r>
                    <w:rPr>
                      <w:rFonts w:hint="eastAsia"/>
                      <w:color w:val="auto"/>
                    </w:rPr>
                    <w:t>76</w:t>
                  </w:r>
                </w:p>
              </w:tc>
              <w:tc>
                <w:tcPr>
                  <w:tcW w:w="613" w:type="dxa"/>
                  <w:vAlign w:val="center"/>
                </w:tcPr>
                <w:p>
                  <w:pPr>
                    <w:pStyle w:val="68"/>
                    <w:rPr>
                      <w:color w:val="auto"/>
                    </w:rPr>
                  </w:pPr>
                  <w:r>
                    <w:rPr>
                      <w:rFonts w:hint="eastAsia"/>
                      <w:color w:val="auto"/>
                    </w:rPr>
                    <w:t>14.9</w:t>
                  </w:r>
                </w:p>
              </w:tc>
              <w:tc>
                <w:tcPr>
                  <w:tcW w:w="612" w:type="dxa"/>
                  <w:vAlign w:val="center"/>
                </w:tcPr>
                <w:p>
                  <w:pPr>
                    <w:pStyle w:val="68"/>
                    <w:rPr>
                      <w:color w:val="auto"/>
                    </w:rPr>
                  </w:pPr>
                  <w:r>
                    <w:rPr>
                      <w:rFonts w:hint="eastAsia"/>
                      <w:color w:val="auto"/>
                    </w:rPr>
                    <w:t>21.6</w:t>
                  </w:r>
                </w:p>
              </w:tc>
              <w:tc>
                <w:tcPr>
                  <w:tcW w:w="625" w:type="dxa"/>
                  <w:vAlign w:val="center"/>
                </w:tcPr>
                <w:p>
                  <w:pPr>
                    <w:pStyle w:val="68"/>
                    <w:rPr>
                      <w:color w:val="auto"/>
                    </w:rPr>
                  </w:pPr>
                  <w:r>
                    <w:rPr>
                      <w:rFonts w:hint="eastAsia"/>
                      <w:color w:val="auto"/>
                    </w:rPr>
                    <w:t>1.56</w:t>
                  </w:r>
                </w:p>
              </w:tc>
              <w:tc>
                <w:tcPr>
                  <w:tcW w:w="763" w:type="dxa"/>
                  <w:vAlign w:val="center"/>
                </w:tcPr>
                <w:p>
                  <w:pPr>
                    <w:pStyle w:val="68"/>
                    <w:rPr>
                      <w:color w:val="auto"/>
                    </w:rPr>
                  </w:pPr>
                  <w:r>
                    <w:rPr>
                      <w:rFonts w:hint="eastAsia"/>
                      <w:color w:val="auto"/>
                    </w:rPr>
                    <w:t>21.7</w:t>
                  </w:r>
                </w:p>
              </w:tc>
              <w:tc>
                <w:tcPr>
                  <w:tcW w:w="790" w:type="dxa"/>
                  <w:vAlign w:val="center"/>
                </w:tcPr>
                <w:p>
                  <w:pPr>
                    <w:pStyle w:val="68"/>
                    <w:rPr>
                      <w:color w:val="auto"/>
                    </w:rPr>
                  </w:pPr>
                  <w:r>
                    <w:rPr>
                      <w:rFonts w:hint="eastAsia"/>
                      <w:color w:val="auto"/>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第二次</w:t>
                  </w:r>
                </w:p>
              </w:tc>
              <w:tc>
                <w:tcPr>
                  <w:tcW w:w="775" w:type="dxa"/>
                  <w:vAlign w:val="center"/>
                </w:tcPr>
                <w:p>
                  <w:pPr>
                    <w:pStyle w:val="68"/>
                    <w:rPr>
                      <w:color w:val="auto"/>
                    </w:rPr>
                  </w:pPr>
                  <w:r>
                    <w:rPr>
                      <w:rFonts w:hint="eastAsia"/>
                      <w:color w:val="auto"/>
                    </w:rPr>
                    <w:t>7.62</w:t>
                  </w:r>
                </w:p>
              </w:tc>
              <w:tc>
                <w:tcPr>
                  <w:tcW w:w="662" w:type="dxa"/>
                  <w:vAlign w:val="center"/>
                </w:tcPr>
                <w:p>
                  <w:pPr>
                    <w:pStyle w:val="68"/>
                    <w:rPr>
                      <w:color w:val="auto"/>
                    </w:rPr>
                  </w:pPr>
                  <w:r>
                    <w:rPr>
                      <w:rFonts w:hint="eastAsia"/>
                      <w:color w:val="auto"/>
                    </w:rPr>
                    <w:t>12.8</w:t>
                  </w:r>
                </w:p>
              </w:tc>
              <w:tc>
                <w:tcPr>
                  <w:tcW w:w="600" w:type="dxa"/>
                  <w:vAlign w:val="center"/>
                </w:tcPr>
                <w:p>
                  <w:pPr>
                    <w:pStyle w:val="68"/>
                    <w:rPr>
                      <w:color w:val="auto"/>
                    </w:rPr>
                  </w:pPr>
                  <w:r>
                    <w:rPr>
                      <w:rFonts w:hint="eastAsia"/>
                      <w:color w:val="auto"/>
                    </w:rPr>
                    <w:t>142</w:t>
                  </w:r>
                </w:p>
              </w:tc>
              <w:tc>
                <w:tcPr>
                  <w:tcW w:w="625" w:type="dxa"/>
                  <w:vAlign w:val="center"/>
                </w:tcPr>
                <w:p>
                  <w:pPr>
                    <w:pStyle w:val="68"/>
                    <w:rPr>
                      <w:color w:val="auto"/>
                    </w:rPr>
                  </w:pPr>
                  <w:r>
                    <w:rPr>
                      <w:rFonts w:hint="eastAsia"/>
                      <w:color w:val="auto"/>
                    </w:rPr>
                    <w:t>72</w:t>
                  </w:r>
                </w:p>
              </w:tc>
              <w:tc>
                <w:tcPr>
                  <w:tcW w:w="613" w:type="dxa"/>
                  <w:vAlign w:val="center"/>
                </w:tcPr>
                <w:p>
                  <w:pPr>
                    <w:pStyle w:val="68"/>
                    <w:rPr>
                      <w:color w:val="auto"/>
                    </w:rPr>
                  </w:pPr>
                  <w:r>
                    <w:rPr>
                      <w:rFonts w:hint="eastAsia"/>
                      <w:color w:val="auto"/>
                    </w:rPr>
                    <w:t>15.4</w:t>
                  </w:r>
                </w:p>
              </w:tc>
              <w:tc>
                <w:tcPr>
                  <w:tcW w:w="612" w:type="dxa"/>
                  <w:vAlign w:val="center"/>
                </w:tcPr>
                <w:p>
                  <w:pPr>
                    <w:pStyle w:val="68"/>
                    <w:rPr>
                      <w:color w:val="auto"/>
                    </w:rPr>
                  </w:pPr>
                  <w:r>
                    <w:rPr>
                      <w:rFonts w:hint="eastAsia"/>
                      <w:color w:val="auto"/>
                    </w:rPr>
                    <w:t>20.0</w:t>
                  </w:r>
                </w:p>
              </w:tc>
              <w:tc>
                <w:tcPr>
                  <w:tcW w:w="625" w:type="dxa"/>
                  <w:vAlign w:val="center"/>
                </w:tcPr>
                <w:p>
                  <w:pPr>
                    <w:pStyle w:val="68"/>
                    <w:rPr>
                      <w:color w:val="auto"/>
                    </w:rPr>
                  </w:pPr>
                  <w:r>
                    <w:rPr>
                      <w:rFonts w:hint="eastAsia"/>
                      <w:color w:val="auto"/>
                    </w:rPr>
                    <w:t>1.51</w:t>
                  </w:r>
                </w:p>
              </w:tc>
              <w:tc>
                <w:tcPr>
                  <w:tcW w:w="763" w:type="dxa"/>
                  <w:vAlign w:val="center"/>
                </w:tcPr>
                <w:p>
                  <w:pPr>
                    <w:pStyle w:val="68"/>
                    <w:rPr>
                      <w:color w:val="auto"/>
                    </w:rPr>
                  </w:pPr>
                  <w:r>
                    <w:rPr>
                      <w:rFonts w:hint="eastAsia"/>
                      <w:color w:val="auto"/>
                    </w:rPr>
                    <w:t>24.3</w:t>
                  </w:r>
                </w:p>
              </w:tc>
              <w:tc>
                <w:tcPr>
                  <w:tcW w:w="790" w:type="dxa"/>
                  <w:vAlign w:val="center"/>
                </w:tcPr>
                <w:p>
                  <w:pPr>
                    <w:pStyle w:val="68"/>
                    <w:rPr>
                      <w:color w:val="auto"/>
                    </w:rPr>
                  </w:pPr>
                  <w:r>
                    <w:rPr>
                      <w:rFonts w:hint="eastAsia"/>
                      <w:color w:val="auto"/>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第三次</w:t>
                  </w:r>
                </w:p>
              </w:tc>
              <w:tc>
                <w:tcPr>
                  <w:tcW w:w="775" w:type="dxa"/>
                  <w:vAlign w:val="center"/>
                </w:tcPr>
                <w:p>
                  <w:pPr>
                    <w:pStyle w:val="68"/>
                    <w:rPr>
                      <w:color w:val="auto"/>
                    </w:rPr>
                  </w:pPr>
                  <w:r>
                    <w:rPr>
                      <w:rFonts w:hint="eastAsia"/>
                      <w:color w:val="auto"/>
                    </w:rPr>
                    <w:t>7.64</w:t>
                  </w:r>
                </w:p>
              </w:tc>
              <w:tc>
                <w:tcPr>
                  <w:tcW w:w="662" w:type="dxa"/>
                  <w:vAlign w:val="center"/>
                </w:tcPr>
                <w:p>
                  <w:pPr>
                    <w:pStyle w:val="68"/>
                    <w:rPr>
                      <w:color w:val="auto"/>
                    </w:rPr>
                  </w:pPr>
                  <w:r>
                    <w:rPr>
                      <w:rFonts w:hint="eastAsia"/>
                      <w:color w:val="auto"/>
                    </w:rPr>
                    <w:t>12.8</w:t>
                  </w:r>
                </w:p>
              </w:tc>
              <w:tc>
                <w:tcPr>
                  <w:tcW w:w="600" w:type="dxa"/>
                  <w:vAlign w:val="center"/>
                </w:tcPr>
                <w:p>
                  <w:pPr>
                    <w:pStyle w:val="68"/>
                    <w:rPr>
                      <w:color w:val="auto"/>
                    </w:rPr>
                  </w:pPr>
                  <w:r>
                    <w:rPr>
                      <w:rFonts w:hint="eastAsia"/>
                      <w:color w:val="auto"/>
                    </w:rPr>
                    <w:t>110</w:t>
                  </w:r>
                </w:p>
              </w:tc>
              <w:tc>
                <w:tcPr>
                  <w:tcW w:w="625" w:type="dxa"/>
                  <w:vAlign w:val="center"/>
                </w:tcPr>
                <w:p>
                  <w:pPr>
                    <w:pStyle w:val="68"/>
                    <w:rPr>
                      <w:color w:val="auto"/>
                    </w:rPr>
                  </w:pPr>
                  <w:r>
                    <w:rPr>
                      <w:rFonts w:hint="eastAsia"/>
                      <w:color w:val="auto"/>
                    </w:rPr>
                    <w:t>72</w:t>
                  </w:r>
                </w:p>
              </w:tc>
              <w:tc>
                <w:tcPr>
                  <w:tcW w:w="613" w:type="dxa"/>
                  <w:vAlign w:val="center"/>
                </w:tcPr>
                <w:p>
                  <w:pPr>
                    <w:pStyle w:val="68"/>
                    <w:rPr>
                      <w:color w:val="auto"/>
                    </w:rPr>
                  </w:pPr>
                  <w:r>
                    <w:rPr>
                      <w:rFonts w:hint="eastAsia"/>
                      <w:color w:val="auto"/>
                    </w:rPr>
                    <w:t>16.9</w:t>
                  </w:r>
                </w:p>
              </w:tc>
              <w:tc>
                <w:tcPr>
                  <w:tcW w:w="612" w:type="dxa"/>
                  <w:vAlign w:val="center"/>
                </w:tcPr>
                <w:p>
                  <w:pPr>
                    <w:pStyle w:val="68"/>
                    <w:rPr>
                      <w:color w:val="auto"/>
                    </w:rPr>
                  </w:pPr>
                  <w:r>
                    <w:rPr>
                      <w:rFonts w:hint="eastAsia"/>
                      <w:color w:val="auto"/>
                    </w:rPr>
                    <w:t>17.8</w:t>
                  </w:r>
                </w:p>
              </w:tc>
              <w:tc>
                <w:tcPr>
                  <w:tcW w:w="625" w:type="dxa"/>
                  <w:vAlign w:val="center"/>
                </w:tcPr>
                <w:p>
                  <w:pPr>
                    <w:pStyle w:val="68"/>
                    <w:rPr>
                      <w:color w:val="auto"/>
                    </w:rPr>
                  </w:pPr>
                  <w:r>
                    <w:rPr>
                      <w:rFonts w:hint="eastAsia"/>
                      <w:color w:val="auto"/>
                    </w:rPr>
                    <w:t>1.55</w:t>
                  </w:r>
                </w:p>
              </w:tc>
              <w:tc>
                <w:tcPr>
                  <w:tcW w:w="763" w:type="dxa"/>
                  <w:vAlign w:val="center"/>
                </w:tcPr>
                <w:p>
                  <w:pPr>
                    <w:pStyle w:val="68"/>
                    <w:rPr>
                      <w:color w:val="auto"/>
                    </w:rPr>
                  </w:pPr>
                  <w:r>
                    <w:rPr>
                      <w:rFonts w:hint="eastAsia"/>
                      <w:color w:val="auto"/>
                    </w:rPr>
                    <w:t>25.1</w:t>
                  </w:r>
                </w:p>
              </w:tc>
              <w:tc>
                <w:tcPr>
                  <w:tcW w:w="790" w:type="dxa"/>
                  <w:vAlign w:val="center"/>
                </w:tcPr>
                <w:p>
                  <w:pPr>
                    <w:pStyle w:val="68"/>
                    <w:rPr>
                      <w:color w:val="auto"/>
                    </w:rPr>
                  </w:pPr>
                  <w:r>
                    <w:rPr>
                      <w:rFonts w:hint="eastAsia"/>
                      <w:color w:val="auto"/>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第四次</w:t>
                  </w:r>
                </w:p>
              </w:tc>
              <w:tc>
                <w:tcPr>
                  <w:tcW w:w="775" w:type="dxa"/>
                  <w:vAlign w:val="center"/>
                </w:tcPr>
                <w:p>
                  <w:pPr>
                    <w:pStyle w:val="68"/>
                    <w:rPr>
                      <w:color w:val="auto"/>
                    </w:rPr>
                  </w:pPr>
                  <w:r>
                    <w:rPr>
                      <w:rFonts w:hint="eastAsia"/>
                      <w:color w:val="auto"/>
                    </w:rPr>
                    <w:t>7.58</w:t>
                  </w:r>
                </w:p>
              </w:tc>
              <w:tc>
                <w:tcPr>
                  <w:tcW w:w="662" w:type="dxa"/>
                  <w:vAlign w:val="center"/>
                </w:tcPr>
                <w:p>
                  <w:pPr>
                    <w:pStyle w:val="68"/>
                    <w:rPr>
                      <w:color w:val="auto"/>
                    </w:rPr>
                  </w:pPr>
                  <w:r>
                    <w:rPr>
                      <w:rFonts w:hint="eastAsia"/>
                      <w:color w:val="auto"/>
                    </w:rPr>
                    <w:t>11.9</w:t>
                  </w:r>
                </w:p>
              </w:tc>
              <w:tc>
                <w:tcPr>
                  <w:tcW w:w="600" w:type="dxa"/>
                  <w:vAlign w:val="center"/>
                </w:tcPr>
                <w:p>
                  <w:pPr>
                    <w:pStyle w:val="68"/>
                    <w:rPr>
                      <w:color w:val="auto"/>
                    </w:rPr>
                  </w:pPr>
                  <w:r>
                    <w:rPr>
                      <w:rFonts w:hint="eastAsia"/>
                      <w:color w:val="auto"/>
                    </w:rPr>
                    <w:t>121</w:t>
                  </w:r>
                </w:p>
              </w:tc>
              <w:tc>
                <w:tcPr>
                  <w:tcW w:w="625" w:type="dxa"/>
                  <w:vAlign w:val="center"/>
                </w:tcPr>
                <w:p>
                  <w:pPr>
                    <w:pStyle w:val="68"/>
                    <w:rPr>
                      <w:color w:val="auto"/>
                    </w:rPr>
                  </w:pPr>
                  <w:r>
                    <w:rPr>
                      <w:rFonts w:hint="eastAsia"/>
                      <w:color w:val="auto"/>
                    </w:rPr>
                    <w:t>82</w:t>
                  </w:r>
                </w:p>
              </w:tc>
              <w:tc>
                <w:tcPr>
                  <w:tcW w:w="613" w:type="dxa"/>
                  <w:vAlign w:val="center"/>
                </w:tcPr>
                <w:p>
                  <w:pPr>
                    <w:pStyle w:val="68"/>
                    <w:rPr>
                      <w:color w:val="auto"/>
                    </w:rPr>
                  </w:pPr>
                  <w:r>
                    <w:rPr>
                      <w:rFonts w:hint="eastAsia"/>
                      <w:color w:val="auto"/>
                    </w:rPr>
                    <w:t>15.7</w:t>
                  </w:r>
                </w:p>
              </w:tc>
              <w:tc>
                <w:tcPr>
                  <w:tcW w:w="612" w:type="dxa"/>
                  <w:vAlign w:val="center"/>
                </w:tcPr>
                <w:p>
                  <w:pPr>
                    <w:pStyle w:val="68"/>
                    <w:rPr>
                      <w:color w:val="auto"/>
                    </w:rPr>
                  </w:pPr>
                  <w:r>
                    <w:rPr>
                      <w:rFonts w:hint="eastAsia"/>
                      <w:color w:val="auto"/>
                    </w:rPr>
                    <w:t>16.8</w:t>
                  </w:r>
                </w:p>
              </w:tc>
              <w:tc>
                <w:tcPr>
                  <w:tcW w:w="625" w:type="dxa"/>
                  <w:vAlign w:val="center"/>
                </w:tcPr>
                <w:p>
                  <w:pPr>
                    <w:pStyle w:val="68"/>
                    <w:rPr>
                      <w:color w:val="auto"/>
                    </w:rPr>
                  </w:pPr>
                  <w:r>
                    <w:rPr>
                      <w:rFonts w:hint="eastAsia"/>
                      <w:color w:val="auto"/>
                    </w:rPr>
                    <w:t>1.50</w:t>
                  </w:r>
                </w:p>
              </w:tc>
              <w:tc>
                <w:tcPr>
                  <w:tcW w:w="763" w:type="dxa"/>
                  <w:vAlign w:val="center"/>
                </w:tcPr>
                <w:p>
                  <w:pPr>
                    <w:pStyle w:val="68"/>
                    <w:rPr>
                      <w:color w:val="auto"/>
                    </w:rPr>
                  </w:pPr>
                  <w:r>
                    <w:rPr>
                      <w:rFonts w:hint="eastAsia"/>
                      <w:color w:val="auto"/>
                    </w:rPr>
                    <w:t>26.4</w:t>
                  </w:r>
                </w:p>
              </w:tc>
              <w:tc>
                <w:tcPr>
                  <w:tcW w:w="790" w:type="dxa"/>
                  <w:vAlign w:val="center"/>
                </w:tcPr>
                <w:p>
                  <w:pPr>
                    <w:pStyle w:val="68"/>
                    <w:rPr>
                      <w:color w:val="auto"/>
                    </w:rPr>
                  </w:pPr>
                  <w:r>
                    <w:rPr>
                      <w:rFonts w:hint="eastAsia"/>
                      <w:color w:val="auto"/>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平均值</w:t>
                  </w:r>
                </w:p>
              </w:tc>
              <w:tc>
                <w:tcPr>
                  <w:tcW w:w="775" w:type="dxa"/>
                  <w:vAlign w:val="center"/>
                </w:tcPr>
                <w:p>
                  <w:pPr>
                    <w:pStyle w:val="68"/>
                    <w:rPr>
                      <w:color w:val="auto"/>
                    </w:rPr>
                  </w:pPr>
                  <w:r>
                    <w:rPr>
                      <w:rFonts w:hint="eastAsia"/>
                      <w:color w:val="auto"/>
                    </w:rPr>
                    <w:t>7.51-7.64</w:t>
                  </w:r>
                </w:p>
              </w:tc>
              <w:tc>
                <w:tcPr>
                  <w:tcW w:w="662" w:type="dxa"/>
                  <w:vAlign w:val="center"/>
                </w:tcPr>
                <w:p>
                  <w:pPr>
                    <w:pStyle w:val="68"/>
                    <w:rPr>
                      <w:color w:val="auto"/>
                    </w:rPr>
                  </w:pPr>
                  <w:r>
                    <w:rPr>
                      <w:rFonts w:hint="eastAsia"/>
                      <w:color w:val="auto"/>
                    </w:rPr>
                    <w:t>12.5</w:t>
                  </w:r>
                </w:p>
              </w:tc>
              <w:tc>
                <w:tcPr>
                  <w:tcW w:w="600" w:type="dxa"/>
                  <w:vAlign w:val="center"/>
                </w:tcPr>
                <w:p>
                  <w:pPr>
                    <w:pStyle w:val="68"/>
                    <w:rPr>
                      <w:color w:val="auto"/>
                    </w:rPr>
                  </w:pPr>
                  <w:r>
                    <w:rPr>
                      <w:rFonts w:hint="eastAsia"/>
                      <w:color w:val="auto"/>
                    </w:rPr>
                    <w:t>131</w:t>
                  </w:r>
                </w:p>
              </w:tc>
              <w:tc>
                <w:tcPr>
                  <w:tcW w:w="625" w:type="dxa"/>
                  <w:vAlign w:val="center"/>
                </w:tcPr>
                <w:p>
                  <w:pPr>
                    <w:pStyle w:val="68"/>
                    <w:rPr>
                      <w:color w:val="auto"/>
                    </w:rPr>
                  </w:pPr>
                  <w:r>
                    <w:rPr>
                      <w:rFonts w:hint="eastAsia"/>
                      <w:color w:val="auto"/>
                    </w:rPr>
                    <w:t>76</w:t>
                  </w:r>
                </w:p>
              </w:tc>
              <w:tc>
                <w:tcPr>
                  <w:tcW w:w="613" w:type="dxa"/>
                  <w:vAlign w:val="center"/>
                </w:tcPr>
                <w:p>
                  <w:pPr>
                    <w:pStyle w:val="68"/>
                    <w:rPr>
                      <w:color w:val="auto"/>
                    </w:rPr>
                  </w:pPr>
                  <w:r>
                    <w:rPr>
                      <w:rFonts w:hint="eastAsia"/>
                      <w:color w:val="auto"/>
                    </w:rPr>
                    <w:t>15.7</w:t>
                  </w:r>
                </w:p>
              </w:tc>
              <w:tc>
                <w:tcPr>
                  <w:tcW w:w="612" w:type="dxa"/>
                  <w:vAlign w:val="center"/>
                </w:tcPr>
                <w:p>
                  <w:pPr>
                    <w:pStyle w:val="68"/>
                    <w:rPr>
                      <w:color w:val="auto"/>
                    </w:rPr>
                  </w:pPr>
                  <w:r>
                    <w:rPr>
                      <w:rFonts w:hint="eastAsia"/>
                      <w:color w:val="auto"/>
                    </w:rPr>
                    <w:t>19.1</w:t>
                  </w:r>
                </w:p>
              </w:tc>
              <w:tc>
                <w:tcPr>
                  <w:tcW w:w="625" w:type="dxa"/>
                  <w:vAlign w:val="center"/>
                </w:tcPr>
                <w:p>
                  <w:pPr>
                    <w:pStyle w:val="68"/>
                    <w:rPr>
                      <w:color w:val="auto"/>
                    </w:rPr>
                  </w:pPr>
                  <w:r>
                    <w:rPr>
                      <w:rFonts w:hint="eastAsia"/>
                      <w:color w:val="auto"/>
                    </w:rPr>
                    <w:t>1.53</w:t>
                  </w:r>
                </w:p>
              </w:tc>
              <w:tc>
                <w:tcPr>
                  <w:tcW w:w="763" w:type="dxa"/>
                  <w:vAlign w:val="center"/>
                </w:tcPr>
                <w:p>
                  <w:pPr>
                    <w:pStyle w:val="68"/>
                    <w:rPr>
                      <w:color w:val="auto"/>
                    </w:rPr>
                  </w:pPr>
                  <w:r>
                    <w:rPr>
                      <w:rFonts w:hint="eastAsia"/>
                      <w:color w:val="auto"/>
                    </w:rPr>
                    <w:t>24.4</w:t>
                  </w:r>
                </w:p>
              </w:tc>
              <w:tc>
                <w:tcPr>
                  <w:tcW w:w="790" w:type="dxa"/>
                  <w:vAlign w:val="center"/>
                </w:tcPr>
                <w:p>
                  <w:pPr>
                    <w:pStyle w:val="68"/>
                    <w:rPr>
                      <w:color w:val="auto"/>
                    </w:rPr>
                  </w:pPr>
                  <w:r>
                    <w:rPr>
                      <w:rFonts w:hint="eastAsia"/>
                      <w:color w:val="auto"/>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restart"/>
                  <w:vAlign w:val="center"/>
                </w:tcPr>
                <w:p>
                  <w:pPr>
                    <w:pStyle w:val="68"/>
                    <w:rPr>
                      <w:color w:val="auto"/>
                    </w:rPr>
                  </w:pPr>
                  <w:r>
                    <w:rPr>
                      <w:rFonts w:hint="eastAsia"/>
                      <w:color w:val="auto"/>
                    </w:rPr>
                    <w:t>厂区污水处理设施出口W1</w:t>
                  </w:r>
                </w:p>
              </w:tc>
              <w:tc>
                <w:tcPr>
                  <w:tcW w:w="818" w:type="dxa"/>
                  <w:vAlign w:val="center"/>
                </w:tcPr>
                <w:p>
                  <w:pPr>
                    <w:pStyle w:val="68"/>
                    <w:rPr>
                      <w:color w:val="auto"/>
                    </w:rPr>
                  </w:pPr>
                  <w:r>
                    <w:rPr>
                      <w:rFonts w:hint="eastAsia"/>
                      <w:color w:val="auto"/>
                    </w:rPr>
                    <w:t>第一次</w:t>
                  </w:r>
                </w:p>
              </w:tc>
              <w:tc>
                <w:tcPr>
                  <w:tcW w:w="775" w:type="dxa"/>
                  <w:vAlign w:val="center"/>
                </w:tcPr>
                <w:p>
                  <w:pPr>
                    <w:pStyle w:val="68"/>
                    <w:rPr>
                      <w:color w:val="auto"/>
                    </w:rPr>
                  </w:pPr>
                  <w:r>
                    <w:rPr>
                      <w:rFonts w:hint="eastAsia"/>
                      <w:color w:val="auto"/>
                    </w:rPr>
                    <w:t>7.90</w:t>
                  </w:r>
                </w:p>
              </w:tc>
              <w:tc>
                <w:tcPr>
                  <w:tcW w:w="662" w:type="dxa"/>
                  <w:vAlign w:val="center"/>
                </w:tcPr>
                <w:p>
                  <w:pPr>
                    <w:pStyle w:val="68"/>
                    <w:rPr>
                      <w:color w:val="auto"/>
                    </w:rPr>
                  </w:pPr>
                  <w:r>
                    <w:rPr>
                      <w:rFonts w:hint="eastAsia"/>
                      <w:color w:val="auto"/>
                    </w:rPr>
                    <w:t>10.8</w:t>
                  </w:r>
                </w:p>
              </w:tc>
              <w:tc>
                <w:tcPr>
                  <w:tcW w:w="600" w:type="dxa"/>
                  <w:vAlign w:val="center"/>
                </w:tcPr>
                <w:p>
                  <w:pPr>
                    <w:pStyle w:val="68"/>
                    <w:rPr>
                      <w:color w:val="auto"/>
                    </w:rPr>
                  </w:pPr>
                  <w:r>
                    <w:rPr>
                      <w:rFonts w:hint="eastAsia"/>
                      <w:color w:val="auto"/>
                    </w:rPr>
                    <w:t>30</w:t>
                  </w:r>
                </w:p>
              </w:tc>
              <w:tc>
                <w:tcPr>
                  <w:tcW w:w="625" w:type="dxa"/>
                  <w:vAlign w:val="center"/>
                </w:tcPr>
                <w:p>
                  <w:pPr>
                    <w:pStyle w:val="68"/>
                    <w:rPr>
                      <w:color w:val="auto"/>
                    </w:rPr>
                  </w:pPr>
                  <w:r>
                    <w:rPr>
                      <w:rFonts w:hint="eastAsia"/>
                      <w:color w:val="auto"/>
                    </w:rPr>
                    <w:t>46</w:t>
                  </w:r>
                </w:p>
              </w:tc>
              <w:tc>
                <w:tcPr>
                  <w:tcW w:w="613" w:type="dxa"/>
                  <w:vAlign w:val="center"/>
                </w:tcPr>
                <w:p>
                  <w:pPr>
                    <w:pStyle w:val="68"/>
                    <w:rPr>
                      <w:color w:val="auto"/>
                    </w:rPr>
                  </w:pPr>
                  <w:r>
                    <w:rPr>
                      <w:rFonts w:hint="eastAsia"/>
                      <w:color w:val="auto"/>
                    </w:rPr>
                    <w:t>1.59</w:t>
                  </w:r>
                </w:p>
              </w:tc>
              <w:tc>
                <w:tcPr>
                  <w:tcW w:w="612" w:type="dxa"/>
                  <w:vAlign w:val="center"/>
                </w:tcPr>
                <w:p>
                  <w:pPr>
                    <w:pStyle w:val="68"/>
                    <w:rPr>
                      <w:color w:val="auto"/>
                    </w:rPr>
                  </w:pPr>
                  <w:r>
                    <w:rPr>
                      <w:rFonts w:hint="eastAsia"/>
                      <w:color w:val="auto"/>
                    </w:rPr>
                    <w:t>11.9</w:t>
                  </w:r>
                </w:p>
              </w:tc>
              <w:tc>
                <w:tcPr>
                  <w:tcW w:w="625" w:type="dxa"/>
                  <w:vAlign w:val="center"/>
                </w:tcPr>
                <w:p>
                  <w:pPr>
                    <w:pStyle w:val="68"/>
                    <w:rPr>
                      <w:color w:val="auto"/>
                    </w:rPr>
                  </w:pPr>
                  <w:r>
                    <w:rPr>
                      <w:rFonts w:hint="eastAsia"/>
                      <w:color w:val="auto"/>
                    </w:rPr>
                    <w:t>0.79</w:t>
                  </w:r>
                </w:p>
              </w:tc>
              <w:tc>
                <w:tcPr>
                  <w:tcW w:w="763" w:type="dxa"/>
                  <w:vAlign w:val="center"/>
                </w:tcPr>
                <w:p>
                  <w:pPr>
                    <w:pStyle w:val="68"/>
                    <w:rPr>
                      <w:color w:val="auto"/>
                    </w:rPr>
                  </w:pPr>
                  <w:r>
                    <w:rPr>
                      <w:rFonts w:hint="eastAsia"/>
                      <w:color w:val="auto"/>
                    </w:rPr>
                    <w:t>11.1</w:t>
                  </w:r>
                </w:p>
              </w:tc>
              <w:tc>
                <w:tcPr>
                  <w:tcW w:w="790" w:type="dxa"/>
                  <w:vAlign w:val="center"/>
                </w:tcPr>
                <w:p>
                  <w:pPr>
                    <w:pStyle w:val="68"/>
                    <w:rPr>
                      <w:color w:val="auto"/>
                    </w:rPr>
                  </w:pPr>
                  <w:r>
                    <w:rPr>
                      <w:rFonts w:hint="eastAsia"/>
                      <w:color w:val="auto"/>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第二次</w:t>
                  </w:r>
                </w:p>
              </w:tc>
              <w:tc>
                <w:tcPr>
                  <w:tcW w:w="775" w:type="dxa"/>
                  <w:vAlign w:val="center"/>
                </w:tcPr>
                <w:p>
                  <w:pPr>
                    <w:pStyle w:val="68"/>
                    <w:rPr>
                      <w:color w:val="auto"/>
                    </w:rPr>
                  </w:pPr>
                  <w:r>
                    <w:rPr>
                      <w:rFonts w:hint="eastAsia"/>
                      <w:color w:val="auto"/>
                    </w:rPr>
                    <w:t>7.84</w:t>
                  </w:r>
                </w:p>
              </w:tc>
              <w:tc>
                <w:tcPr>
                  <w:tcW w:w="662" w:type="dxa"/>
                  <w:vAlign w:val="center"/>
                </w:tcPr>
                <w:p>
                  <w:pPr>
                    <w:pStyle w:val="68"/>
                    <w:rPr>
                      <w:color w:val="auto"/>
                    </w:rPr>
                  </w:pPr>
                  <w:r>
                    <w:rPr>
                      <w:rFonts w:hint="eastAsia"/>
                      <w:color w:val="auto"/>
                    </w:rPr>
                    <w:t>11.3</w:t>
                  </w:r>
                </w:p>
              </w:tc>
              <w:tc>
                <w:tcPr>
                  <w:tcW w:w="600" w:type="dxa"/>
                  <w:vAlign w:val="center"/>
                </w:tcPr>
                <w:p>
                  <w:pPr>
                    <w:pStyle w:val="68"/>
                    <w:rPr>
                      <w:color w:val="auto"/>
                    </w:rPr>
                  </w:pPr>
                  <w:r>
                    <w:rPr>
                      <w:rFonts w:hint="eastAsia"/>
                      <w:color w:val="auto"/>
                    </w:rPr>
                    <w:t>23</w:t>
                  </w:r>
                </w:p>
              </w:tc>
              <w:tc>
                <w:tcPr>
                  <w:tcW w:w="625" w:type="dxa"/>
                  <w:vAlign w:val="center"/>
                </w:tcPr>
                <w:p>
                  <w:pPr>
                    <w:pStyle w:val="68"/>
                    <w:rPr>
                      <w:color w:val="auto"/>
                    </w:rPr>
                  </w:pPr>
                  <w:r>
                    <w:rPr>
                      <w:rFonts w:hint="eastAsia"/>
                      <w:color w:val="auto"/>
                    </w:rPr>
                    <w:t>47</w:t>
                  </w:r>
                </w:p>
              </w:tc>
              <w:tc>
                <w:tcPr>
                  <w:tcW w:w="613" w:type="dxa"/>
                  <w:vAlign w:val="center"/>
                </w:tcPr>
                <w:p>
                  <w:pPr>
                    <w:pStyle w:val="68"/>
                    <w:rPr>
                      <w:color w:val="auto"/>
                    </w:rPr>
                  </w:pPr>
                  <w:r>
                    <w:rPr>
                      <w:rFonts w:hint="eastAsia"/>
                      <w:color w:val="auto"/>
                    </w:rPr>
                    <w:t>1.86</w:t>
                  </w:r>
                </w:p>
              </w:tc>
              <w:tc>
                <w:tcPr>
                  <w:tcW w:w="612" w:type="dxa"/>
                  <w:vAlign w:val="center"/>
                </w:tcPr>
                <w:p>
                  <w:pPr>
                    <w:pStyle w:val="68"/>
                    <w:rPr>
                      <w:color w:val="auto"/>
                    </w:rPr>
                  </w:pPr>
                  <w:r>
                    <w:rPr>
                      <w:rFonts w:hint="eastAsia"/>
                      <w:color w:val="auto"/>
                    </w:rPr>
                    <w:t>15.1</w:t>
                  </w:r>
                </w:p>
              </w:tc>
              <w:tc>
                <w:tcPr>
                  <w:tcW w:w="625" w:type="dxa"/>
                  <w:vAlign w:val="center"/>
                </w:tcPr>
                <w:p>
                  <w:pPr>
                    <w:pStyle w:val="68"/>
                    <w:rPr>
                      <w:color w:val="auto"/>
                    </w:rPr>
                  </w:pPr>
                  <w:r>
                    <w:rPr>
                      <w:rFonts w:hint="eastAsia"/>
                      <w:color w:val="auto"/>
                    </w:rPr>
                    <w:t>0.79</w:t>
                  </w:r>
                </w:p>
              </w:tc>
              <w:tc>
                <w:tcPr>
                  <w:tcW w:w="763" w:type="dxa"/>
                  <w:vAlign w:val="center"/>
                </w:tcPr>
                <w:p>
                  <w:pPr>
                    <w:pStyle w:val="68"/>
                    <w:rPr>
                      <w:color w:val="auto"/>
                    </w:rPr>
                  </w:pPr>
                  <w:r>
                    <w:rPr>
                      <w:rFonts w:hint="eastAsia"/>
                      <w:color w:val="auto"/>
                    </w:rPr>
                    <w:t>10.4</w:t>
                  </w:r>
                </w:p>
              </w:tc>
              <w:tc>
                <w:tcPr>
                  <w:tcW w:w="790" w:type="dxa"/>
                  <w:vAlign w:val="center"/>
                </w:tcPr>
                <w:p>
                  <w:pPr>
                    <w:pStyle w:val="68"/>
                    <w:rPr>
                      <w:color w:val="auto"/>
                    </w:rPr>
                  </w:pPr>
                  <w:r>
                    <w:rPr>
                      <w:rFonts w:hint="eastAsia"/>
                      <w:color w:val="auto"/>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第三次</w:t>
                  </w:r>
                </w:p>
              </w:tc>
              <w:tc>
                <w:tcPr>
                  <w:tcW w:w="775" w:type="dxa"/>
                  <w:vAlign w:val="center"/>
                </w:tcPr>
                <w:p>
                  <w:pPr>
                    <w:pStyle w:val="68"/>
                    <w:rPr>
                      <w:color w:val="auto"/>
                    </w:rPr>
                  </w:pPr>
                  <w:r>
                    <w:rPr>
                      <w:rFonts w:hint="eastAsia"/>
                      <w:color w:val="auto"/>
                    </w:rPr>
                    <w:t>7.85</w:t>
                  </w:r>
                </w:p>
              </w:tc>
              <w:tc>
                <w:tcPr>
                  <w:tcW w:w="662" w:type="dxa"/>
                  <w:vAlign w:val="center"/>
                </w:tcPr>
                <w:p>
                  <w:pPr>
                    <w:pStyle w:val="68"/>
                    <w:rPr>
                      <w:color w:val="auto"/>
                    </w:rPr>
                  </w:pPr>
                  <w:r>
                    <w:rPr>
                      <w:rFonts w:hint="eastAsia"/>
                      <w:color w:val="auto"/>
                    </w:rPr>
                    <w:t>11.8</w:t>
                  </w:r>
                </w:p>
              </w:tc>
              <w:tc>
                <w:tcPr>
                  <w:tcW w:w="600" w:type="dxa"/>
                  <w:vAlign w:val="center"/>
                </w:tcPr>
                <w:p>
                  <w:pPr>
                    <w:pStyle w:val="68"/>
                    <w:rPr>
                      <w:color w:val="auto"/>
                    </w:rPr>
                  </w:pPr>
                  <w:r>
                    <w:rPr>
                      <w:rFonts w:hint="eastAsia"/>
                      <w:color w:val="auto"/>
                    </w:rPr>
                    <w:t>34</w:t>
                  </w:r>
                </w:p>
              </w:tc>
              <w:tc>
                <w:tcPr>
                  <w:tcW w:w="625" w:type="dxa"/>
                  <w:vAlign w:val="center"/>
                </w:tcPr>
                <w:p>
                  <w:pPr>
                    <w:pStyle w:val="68"/>
                    <w:rPr>
                      <w:color w:val="auto"/>
                    </w:rPr>
                  </w:pPr>
                  <w:r>
                    <w:rPr>
                      <w:rFonts w:hint="eastAsia"/>
                      <w:color w:val="auto"/>
                    </w:rPr>
                    <w:t>44</w:t>
                  </w:r>
                </w:p>
              </w:tc>
              <w:tc>
                <w:tcPr>
                  <w:tcW w:w="613" w:type="dxa"/>
                  <w:vAlign w:val="center"/>
                </w:tcPr>
                <w:p>
                  <w:pPr>
                    <w:pStyle w:val="68"/>
                    <w:rPr>
                      <w:color w:val="auto"/>
                    </w:rPr>
                  </w:pPr>
                  <w:r>
                    <w:rPr>
                      <w:rFonts w:hint="eastAsia"/>
                      <w:color w:val="auto"/>
                    </w:rPr>
                    <w:t>1.82</w:t>
                  </w:r>
                </w:p>
              </w:tc>
              <w:tc>
                <w:tcPr>
                  <w:tcW w:w="612" w:type="dxa"/>
                  <w:vAlign w:val="center"/>
                </w:tcPr>
                <w:p>
                  <w:pPr>
                    <w:pStyle w:val="68"/>
                    <w:rPr>
                      <w:color w:val="auto"/>
                    </w:rPr>
                  </w:pPr>
                  <w:r>
                    <w:rPr>
                      <w:rFonts w:hint="eastAsia"/>
                      <w:color w:val="auto"/>
                    </w:rPr>
                    <w:t>14.2</w:t>
                  </w:r>
                </w:p>
              </w:tc>
              <w:tc>
                <w:tcPr>
                  <w:tcW w:w="625" w:type="dxa"/>
                  <w:vAlign w:val="center"/>
                </w:tcPr>
                <w:p>
                  <w:pPr>
                    <w:pStyle w:val="68"/>
                    <w:rPr>
                      <w:color w:val="auto"/>
                    </w:rPr>
                  </w:pPr>
                  <w:r>
                    <w:rPr>
                      <w:rFonts w:hint="eastAsia"/>
                      <w:color w:val="auto"/>
                    </w:rPr>
                    <w:t>0.75</w:t>
                  </w:r>
                </w:p>
              </w:tc>
              <w:tc>
                <w:tcPr>
                  <w:tcW w:w="763" w:type="dxa"/>
                  <w:vAlign w:val="center"/>
                </w:tcPr>
                <w:p>
                  <w:pPr>
                    <w:pStyle w:val="68"/>
                    <w:rPr>
                      <w:color w:val="auto"/>
                    </w:rPr>
                  </w:pPr>
                  <w:r>
                    <w:rPr>
                      <w:rFonts w:hint="eastAsia"/>
                      <w:color w:val="auto"/>
                    </w:rPr>
                    <w:t>10.0</w:t>
                  </w:r>
                </w:p>
              </w:tc>
              <w:tc>
                <w:tcPr>
                  <w:tcW w:w="790" w:type="dxa"/>
                  <w:vAlign w:val="center"/>
                </w:tcPr>
                <w:p>
                  <w:pPr>
                    <w:pStyle w:val="68"/>
                    <w:rPr>
                      <w:color w:val="auto"/>
                    </w:rPr>
                  </w:pPr>
                  <w:r>
                    <w:rPr>
                      <w:rFonts w:hint="eastAsia"/>
                      <w:color w:val="auto"/>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第四次</w:t>
                  </w:r>
                </w:p>
              </w:tc>
              <w:tc>
                <w:tcPr>
                  <w:tcW w:w="775" w:type="dxa"/>
                  <w:vAlign w:val="center"/>
                </w:tcPr>
                <w:p>
                  <w:pPr>
                    <w:pStyle w:val="68"/>
                    <w:rPr>
                      <w:color w:val="auto"/>
                    </w:rPr>
                  </w:pPr>
                  <w:r>
                    <w:rPr>
                      <w:rFonts w:hint="eastAsia"/>
                      <w:color w:val="auto"/>
                    </w:rPr>
                    <w:t>7.79</w:t>
                  </w:r>
                </w:p>
              </w:tc>
              <w:tc>
                <w:tcPr>
                  <w:tcW w:w="662" w:type="dxa"/>
                  <w:vAlign w:val="center"/>
                </w:tcPr>
                <w:p>
                  <w:pPr>
                    <w:pStyle w:val="68"/>
                    <w:rPr>
                      <w:color w:val="auto"/>
                    </w:rPr>
                  </w:pPr>
                  <w:r>
                    <w:rPr>
                      <w:rFonts w:hint="eastAsia"/>
                      <w:color w:val="auto"/>
                    </w:rPr>
                    <w:t>11.7</w:t>
                  </w:r>
                </w:p>
              </w:tc>
              <w:tc>
                <w:tcPr>
                  <w:tcW w:w="600" w:type="dxa"/>
                  <w:vAlign w:val="center"/>
                </w:tcPr>
                <w:p>
                  <w:pPr>
                    <w:pStyle w:val="68"/>
                    <w:rPr>
                      <w:color w:val="auto"/>
                    </w:rPr>
                  </w:pPr>
                  <w:r>
                    <w:rPr>
                      <w:rFonts w:hint="eastAsia"/>
                      <w:color w:val="auto"/>
                    </w:rPr>
                    <w:t>29</w:t>
                  </w:r>
                </w:p>
              </w:tc>
              <w:tc>
                <w:tcPr>
                  <w:tcW w:w="625" w:type="dxa"/>
                  <w:vAlign w:val="center"/>
                </w:tcPr>
                <w:p>
                  <w:pPr>
                    <w:pStyle w:val="68"/>
                    <w:rPr>
                      <w:color w:val="auto"/>
                    </w:rPr>
                  </w:pPr>
                  <w:r>
                    <w:rPr>
                      <w:rFonts w:hint="eastAsia"/>
                      <w:color w:val="auto"/>
                    </w:rPr>
                    <w:t>44</w:t>
                  </w:r>
                </w:p>
              </w:tc>
              <w:tc>
                <w:tcPr>
                  <w:tcW w:w="613" w:type="dxa"/>
                  <w:vAlign w:val="center"/>
                </w:tcPr>
                <w:p>
                  <w:pPr>
                    <w:pStyle w:val="68"/>
                    <w:rPr>
                      <w:color w:val="auto"/>
                    </w:rPr>
                  </w:pPr>
                  <w:r>
                    <w:rPr>
                      <w:rFonts w:hint="eastAsia"/>
                      <w:color w:val="auto"/>
                    </w:rPr>
                    <w:t>1.85</w:t>
                  </w:r>
                </w:p>
              </w:tc>
              <w:tc>
                <w:tcPr>
                  <w:tcW w:w="612" w:type="dxa"/>
                  <w:vAlign w:val="center"/>
                </w:tcPr>
                <w:p>
                  <w:pPr>
                    <w:pStyle w:val="68"/>
                    <w:rPr>
                      <w:color w:val="auto"/>
                    </w:rPr>
                  </w:pPr>
                  <w:r>
                    <w:rPr>
                      <w:rFonts w:hint="eastAsia"/>
                      <w:color w:val="auto"/>
                    </w:rPr>
                    <w:t>11.1</w:t>
                  </w:r>
                </w:p>
              </w:tc>
              <w:tc>
                <w:tcPr>
                  <w:tcW w:w="625" w:type="dxa"/>
                  <w:vAlign w:val="center"/>
                </w:tcPr>
                <w:p>
                  <w:pPr>
                    <w:pStyle w:val="68"/>
                    <w:rPr>
                      <w:color w:val="auto"/>
                    </w:rPr>
                  </w:pPr>
                  <w:r>
                    <w:rPr>
                      <w:rFonts w:hint="eastAsia"/>
                      <w:color w:val="auto"/>
                    </w:rPr>
                    <w:t>0.73</w:t>
                  </w:r>
                </w:p>
              </w:tc>
              <w:tc>
                <w:tcPr>
                  <w:tcW w:w="763" w:type="dxa"/>
                  <w:vAlign w:val="center"/>
                </w:tcPr>
                <w:p>
                  <w:pPr>
                    <w:pStyle w:val="68"/>
                    <w:rPr>
                      <w:color w:val="auto"/>
                    </w:rPr>
                  </w:pPr>
                  <w:r>
                    <w:rPr>
                      <w:rFonts w:hint="eastAsia"/>
                      <w:color w:val="auto"/>
                    </w:rPr>
                    <w:t>11.2</w:t>
                  </w:r>
                </w:p>
              </w:tc>
              <w:tc>
                <w:tcPr>
                  <w:tcW w:w="790" w:type="dxa"/>
                  <w:vAlign w:val="center"/>
                </w:tcPr>
                <w:p>
                  <w:pPr>
                    <w:pStyle w:val="68"/>
                    <w:rPr>
                      <w:color w:val="auto"/>
                    </w:rPr>
                  </w:pPr>
                  <w:r>
                    <w:rPr>
                      <w:rFonts w:hint="eastAsia"/>
                      <w:color w:val="auto"/>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Merge w:val="continue"/>
                  <w:vAlign w:val="center"/>
                </w:tcPr>
                <w:p>
                  <w:pPr>
                    <w:pStyle w:val="68"/>
                    <w:rPr>
                      <w:color w:val="auto"/>
                    </w:rPr>
                  </w:pPr>
                </w:p>
              </w:tc>
              <w:tc>
                <w:tcPr>
                  <w:tcW w:w="757" w:type="dxa"/>
                  <w:vMerge w:val="continue"/>
                  <w:vAlign w:val="center"/>
                </w:tcPr>
                <w:p>
                  <w:pPr>
                    <w:pStyle w:val="68"/>
                    <w:rPr>
                      <w:color w:val="auto"/>
                    </w:rPr>
                  </w:pPr>
                </w:p>
              </w:tc>
              <w:tc>
                <w:tcPr>
                  <w:tcW w:w="818" w:type="dxa"/>
                  <w:vAlign w:val="center"/>
                </w:tcPr>
                <w:p>
                  <w:pPr>
                    <w:pStyle w:val="68"/>
                    <w:rPr>
                      <w:color w:val="auto"/>
                    </w:rPr>
                  </w:pPr>
                  <w:r>
                    <w:rPr>
                      <w:rFonts w:hint="eastAsia"/>
                      <w:color w:val="auto"/>
                    </w:rPr>
                    <w:t>平均值</w:t>
                  </w:r>
                </w:p>
              </w:tc>
              <w:tc>
                <w:tcPr>
                  <w:tcW w:w="775" w:type="dxa"/>
                  <w:vAlign w:val="center"/>
                </w:tcPr>
                <w:p>
                  <w:pPr>
                    <w:pStyle w:val="68"/>
                    <w:rPr>
                      <w:color w:val="auto"/>
                    </w:rPr>
                  </w:pPr>
                  <w:r>
                    <w:rPr>
                      <w:rFonts w:hint="eastAsia"/>
                      <w:color w:val="auto"/>
                    </w:rPr>
                    <w:t>7.79-7.90</w:t>
                  </w:r>
                </w:p>
              </w:tc>
              <w:tc>
                <w:tcPr>
                  <w:tcW w:w="662" w:type="dxa"/>
                  <w:vAlign w:val="center"/>
                </w:tcPr>
                <w:p>
                  <w:pPr>
                    <w:pStyle w:val="68"/>
                    <w:rPr>
                      <w:color w:val="auto"/>
                    </w:rPr>
                  </w:pPr>
                  <w:r>
                    <w:rPr>
                      <w:rFonts w:hint="eastAsia"/>
                      <w:color w:val="auto"/>
                    </w:rPr>
                    <w:t>11.4</w:t>
                  </w:r>
                </w:p>
              </w:tc>
              <w:tc>
                <w:tcPr>
                  <w:tcW w:w="600" w:type="dxa"/>
                  <w:vAlign w:val="center"/>
                </w:tcPr>
                <w:p>
                  <w:pPr>
                    <w:pStyle w:val="68"/>
                    <w:rPr>
                      <w:color w:val="auto"/>
                    </w:rPr>
                  </w:pPr>
                  <w:r>
                    <w:rPr>
                      <w:rFonts w:hint="eastAsia"/>
                      <w:color w:val="auto"/>
                    </w:rPr>
                    <w:t>29</w:t>
                  </w:r>
                </w:p>
              </w:tc>
              <w:tc>
                <w:tcPr>
                  <w:tcW w:w="625" w:type="dxa"/>
                  <w:vAlign w:val="center"/>
                </w:tcPr>
                <w:p>
                  <w:pPr>
                    <w:pStyle w:val="68"/>
                    <w:rPr>
                      <w:color w:val="auto"/>
                    </w:rPr>
                  </w:pPr>
                  <w:r>
                    <w:rPr>
                      <w:rFonts w:hint="eastAsia"/>
                      <w:color w:val="auto"/>
                    </w:rPr>
                    <w:t>45</w:t>
                  </w:r>
                </w:p>
              </w:tc>
              <w:tc>
                <w:tcPr>
                  <w:tcW w:w="613" w:type="dxa"/>
                  <w:vAlign w:val="center"/>
                </w:tcPr>
                <w:p>
                  <w:pPr>
                    <w:pStyle w:val="68"/>
                    <w:rPr>
                      <w:color w:val="auto"/>
                    </w:rPr>
                  </w:pPr>
                  <w:r>
                    <w:rPr>
                      <w:rFonts w:hint="eastAsia"/>
                      <w:color w:val="auto"/>
                    </w:rPr>
                    <w:t>1.8</w:t>
                  </w:r>
                </w:p>
              </w:tc>
              <w:tc>
                <w:tcPr>
                  <w:tcW w:w="612" w:type="dxa"/>
                  <w:vAlign w:val="center"/>
                </w:tcPr>
                <w:p>
                  <w:pPr>
                    <w:pStyle w:val="68"/>
                    <w:rPr>
                      <w:color w:val="auto"/>
                    </w:rPr>
                  </w:pPr>
                  <w:r>
                    <w:rPr>
                      <w:rFonts w:hint="eastAsia"/>
                      <w:color w:val="auto"/>
                    </w:rPr>
                    <w:t>13.1</w:t>
                  </w:r>
                </w:p>
              </w:tc>
              <w:tc>
                <w:tcPr>
                  <w:tcW w:w="625" w:type="dxa"/>
                  <w:vAlign w:val="center"/>
                </w:tcPr>
                <w:p>
                  <w:pPr>
                    <w:pStyle w:val="68"/>
                    <w:rPr>
                      <w:color w:val="auto"/>
                    </w:rPr>
                  </w:pPr>
                  <w:r>
                    <w:rPr>
                      <w:rFonts w:hint="eastAsia"/>
                      <w:color w:val="auto"/>
                    </w:rPr>
                    <w:t>0.77</w:t>
                  </w:r>
                </w:p>
              </w:tc>
              <w:tc>
                <w:tcPr>
                  <w:tcW w:w="763" w:type="dxa"/>
                  <w:vAlign w:val="center"/>
                </w:tcPr>
                <w:p>
                  <w:pPr>
                    <w:pStyle w:val="68"/>
                    <w:rPr>
                      <w:color w:val="auto"/>
                    </w:rPr>
                  </w:pPr>
                  <w:r>
                    <w:rPr>
                      <w:rFonts w:hint="eastAsia"/>
                      <w:color w:val="auto"/>
                    </w:rPr>
                    <w:t>10.7</w:t>
                  </w:r>
                </w:p>
              </w:tc>
              <w:tc>
                <w:tcPr>
                  <w:tcW w:w="790" w:type="dxa"/>
                  <w:vAlign w:val="center"/>
                </w:tcPr>
                <w:p>
                  <w:pPr>
                    <w:pStyle w:val="68"/>
                    <w:rPr>
                      <w:color w:val="auto"/>
                    </w:rPr>
                  </w:pPr>
                  <w:r>
                    <w:rPr>
                      <w:rFonts w:hint="eastAsia"/>
                      <w:color w:val="auto"/>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Align w:val="center"/>
                </w:tcPr>
                <w:p>
                  <w:pPr>
                    <w:pStyle w:val="68"/>
                    <w:rPr>
                      <w:color w:val="auto"/>
                    </w:rPr>
                  </w:pPr>
                  <w:r>
                    <w:rPr>
                      <w:rFonts w:hint="eastAsia"/>
                      <w:color w:val="auto"/>
                    </w:rPr>
                    <w:t>标准限值</w:t>
                  </w:r>
                </w:p>
              </w:tc>
              <w:tc>
                <w:tcPr>
                  <w:tcW w:w="1575" w:type="dxa"/>
                  <w:gridSpan w:val="2"/>
                  <w:vAlign w:val="center"/>
                </w:tcPr>
                <w:p>
                  <w:pPr>
                    <w:pStyle w:val="68"/>
                    <w:rPr>
                      <w:color w:val="auto"/>
                    </w:rPr>
                  </w:pPr>
                  <w:r>
                    <w:rPr>
                      <w:rFonts w:hint="eastAsia"/>
                      <w:color w:val="auto"/>
                    </w:rPr>
                    <w:t>-</w:t>
                  </w:r>
                </w:p>
              </w:tc>
              <w:tc>
                <w:tcPr>
                  <w:tcW w:w="775" w:type="dxa"/>
                  <w:vAlign w:val="center"/>
                </w:tcPr>
                <w:p>
                  <w:pPr>
                    <w:pStyle w:val="68"/>
                    <w:rPr>
                      <w:color w:val="auto"/>
                    </w:rPr>
                  </w:pPr>
                  <w:r>
                    <w:rPr>
                      <w:rFonts w:hint="eastAsia"/>
                      <w:color w:val="auto"/>
                    </w:rPr>
                    <w:t>6-9</w:t>
                  </w:r>
                </w:p>
              </w:tc>
              <w:tc>
                <w:tcPr>
                  <w:tcW w:w="662" w:type="dxa"/>
                  <w:vAlign w:val="center"/>
                </w:tcPr>
                <w:p>
                  <w:pPr>
                    <w:pStyle w:val="68"/>
                    <w:rPr>
                      <w:color w:val="auto"/>
                    </w:rPr>
                  </w:pPr>
                  <w:r>
                    <w:rPr>
                      <w:rFonts w:hint="eastAsia"/>
                      <w:color w:val="auto"/>
                    </w:rPr>
                    <w:t>-</w:t>
                  </w:r>
                </w:p>
              </w:tc>
              <w:tc>
                <w:tcPr>
                  <w:tcW w:w="600" w:type="dxa"/>
                  <w:vAlign w:val="center"/>
                </w:tcPr>
                <w:p>
                  <w:pPr>
                    <w:pStyle w:val="68"/>
                    <w:rPr>
                      <w:color w:val="auto"/>
                    </w:rPr>
                  </w:pPr>
                  <w:r>
                    <w:rPr>
                      <w:rFonts w:hint="eastAsia"/>
                      <w:color w:val="auto"/>
                    </w:rPr>
                    <w:t>400</w:t>
                  </w:r>
                </w:p>
              </w:tc>
              <w:tc>
                <w:tcPr>
                  <w:tcW w:w="625" w:type="dxa"/>
                  <w:vAlign w:val="center"/>
                </w:tcPr>
                <w:p>
                  <w:pPr>
                    <w:pStyle w:val="68"/>
                    <w:rPr>
                      <w:color w:val="auto"/>
                    </w:rPr>
                  </w:pPr>
                  <w:r>
                    <w:rPr>
                      <w:rFonts w:hint="eastAsia"/>
                      <w:color w:val="auto"/>
                    </w:rPr>
                    <w:t>500</w:t>
                  </w:r>
                </w:p>
              </w:tc>
              <w:tc>
                <w:tcPr>
                  <w:tcW w:w="613" w:type="dxa"/>
                  <w:vAlign w:val="center"/>
                </w:tcPr>
                <w:p>
                  <w:pPr>
                    <w:pStyle w:val="68"/>
                    <w:rPr>
                      <w:color w:val="auto"/>
                    </w:rPr>
                  </w:pPr>
                  <w:r>
                    <w:rPr>
                      <w:rFonts w:hint="eastAsia"/>
                      <w:color w:val="auto"/>
                    </w:rPr>
                    <w:t>45</w:t>
                  </w:r>
                </w:p>
              </w:tc>
              <w:tc>
                <w:tcPr>
                  <w:tcW w:w="612" w:type="dxa"/>
                  <w:vAlign w:val="center"/>
                </w:tcPr>
                <w:p>
                  <w:pPr>
                    <w:pStyle w:val="68"/>
                    <w:rPr>
                      <w:color w:val="auto"/>
                    </w:rPr>
                  </w:pPr>
                  <w:r>
                    <w:rPr>
                      <w:rFonts w:hint="eastAsia"/>
                      <w:color w:val="auto"/>
                    </w:rPr>
                    <w:t>70</w:t>
                  </w:r>
                </w:p>
              </w:tc>
              <w:tc>
                <w:tcPr>
                  <w:tcW w:w="625" w:type="dxa"/>
                  <w:vAlign w:val="center"/>
                </w:tcPr>
                <w:p>
                  <w:pPr>
                    <w:pStyle w:val="68"/>
                    <w:rPr>
                      <w:color w:val="auto"/>
                    </w:rPr>
                  </w:pPr>
                  <w:r>
                    <w:rPr>
                      <w:rFonts w:hint="eastAsia"/>
                      <w:color w:val="auto"/>
                    </w:rPr>
                    <w:t>8</w:t>
                  </w:r>
                </w:p>
              </w:tc>
              <w:tc>
                <w:tcPr>
                  <w:tcW w:w="763" w:type="dxa"/>
                  <w:vAlign w:val="center"/>
                </w:tcPr>
                <w:p>
                  <w:pPr>
                    <w:pStyle w:val="68"/>
                    <w:rPr>
                      <w:color w:val="auto"/>
                    </w:rPr>
                  </w:pPr>
                  <w:r>
                    <w:rPr>
                      <w:rFonts w:hint="eastAsia"/>
                      <w:color w:val="auto"/>
                    </w:rPr>
                    <w:t>300</w:t>
                  </w:r>
                </w:p>
              </w:tc>
              <w:tc>
                <w:tcPr>
                  <w:tcW w:w="790" w:type="dxa"/>
                  <w:vAlign w:val="center"/>
                </w:tcPr>
                <w:p>
                  <w:pPr>
                    <w:pStyle w:val="68"/>
                    <w:rPr>
                      <w:color w:val="auto"/>
                    </w:rPr>
                  </w:pPr>
                  <w:r>
                    <w:rPr>
                      <w:rFonts w:hint="eastAsia"/>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580" w:type="dxa"/>
                  <w:vAlign w:val="center"/>
                </w:tcPr>
                <w:p>
                  <w:pPr>
                    <w:pStyle w:val="68"/>
                    <w:rPr>
                      <w:color w:val="auto"/>
                    </w:rPr>
                  </w:pPr>
                  <w:r>
                    <w:rPr>
                      <w:rFonts w:hint="eastAsia"/>
                      <w:color w:val="auto"/>
                    </w:rPr>
                    <w:t>执行标准</w:t>
                  </w:r>
                </w:p>
              </w:tc>
              <w:tc>
                <w:tcPr>
                  <w:tcW w:w="7640" w:type="dxa"/>
                  <w:gridSpan w:val="11"/>
                  <w:vAlign w:val="center"/>
                </w:tcPr>
                <w:p>
                  <w:pPr>
                    <w:pStyle w:val="68"/>
                    <w:rPr>
                      <w:color w:val="auto"/>
                    </w:rPr>
                  </w:pPr>
                  <w:r>
                    <w:rPr>
                      <w:rFonts w:hint="eastAsia"/>
                      <w:color w:val="auto"/>
                    </w:rPr>
                    <w:t>《污水综合排放标准》GB8978-1996 表 4 中三级标准，氨氮、总磷执行《污水排入城市下水道水质标准》（GB/T31962-2015）中 B 级标准</w:t>
                  </w:r>
                </w:p>
              </w:tc>
            </w:tr>
          </w:tbl>
          <w:p>
            <w:pPr>
              <w:pStyle w:val="49"/>
              <w:spacing w:before="120" w:beforeLines="50"/>
              <w:ind w:firstLine="480"/>
            </w:pPr>
            <w:r>
              <w:rPr>
                <w:rFonts w:hint="eastAsia"/>
              </w:rPr>
              <w:t>验收监测期间，波力食品工业（滁州）有限公司水加工品(干制水产品)生产、加工项目厂区污水处理设施pH值范围在 7.79-7.91，悬浮物、化学需氧量、BOD5、总氮、动植物油最大日均排放浓度分别为 29mg/L、45mg/L、10.7mg/L、14.9mg/L、0.76mg/L，均符合《污水综合排放标准》GB8978-1996表4中三级标准；氨氮、总磷最大日均排放浓度分别为1.8mg/L、0.77mg/L，均符合《污水 排入城市下水道水质标准》（GB/T31962-2015）中B级标准。</w:t>
            </w:r>
          </w:p>
          <w:p>
            <w:pPr>
              <w:pStyle w:val="49"/>
              <w:ind w:firstLine="482"/>
              <w:rPr>
                <w:b/>
                <w:bCs/>
              </w:rPr>
            </w:pPr>
            <w:r>
              <w:rPr>
                <w:rFonts w:hint="eastAsia"/>
                <w:b/>
                <w:bCs/>
              </w:rPr>
              <w:t>3、噪声</w:t>
            </w:r>
          </w:p>
          <w:p>
            <w:pPr>
              <w:pStyle w:val="49"/>
              <w:ind w:firstLine="480"/>
            </w:pPr>
            <w:r>
              <w:rPr>
                <w:rFonts w:hint="eastAsia"/>
              </w:rPr>
              <w:t>验收监测期间，对厂区四周厂界进行了噪声监测，噪声监测结果分别见下表。</w:t>
            </w:r>
          </w:p>
          <w:p>
            <w:pPr>
              <w:pStyle w:val="49"/>
              <w:ind w:firstLine="482"/>
              <w:jc w:val="center"/>
            </w:pPr>
            <w:r>
              <w:rPr>
                <w:rFonts w:hint="eastAsia"/>
                <w:b/>
                <w:bCs/>
              </w:rPr>
              <w:t>表 2-13 厂界噪声检测结果统计表</w:t>
            </w:r>
          </w:p>
          <w:tbl>
            <w:tblPr>
              <w:tblStyle w:val="23"/>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2075"/>
              <w:gridCol w:w="2500"/>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430" w:type="dxa"/>
                  <w:vMerge w:val="restart"/>
                  <w:vAlign w:val="center"/>
                </w:tcPr>
                <w:p>
                  <w:pPr>
                    <w:pStyle w:val="68"/>
                    <w:rPr>
                      <w:b/>
                      <w:bCs w:val="0"/>
                      <w:color w:val="auto"/>
                    </w:rPr>
                  </w:pPr>
                  <w:r>
                    <w:rPr>
                      <w:rFonts w:hint="eastAsia"/>
                      <w:b/>
                      <w:bCs w:val="0"/>
                      <w:color w:val="auto"/>
                    </w:rPr>
                    <w:t>点位编号</w:t>
                  </w:r>
                </w:p>
              </w:tc>
              <w:tc>
                <w:tcPr>
                  <w:tcW w:w="2075" w:type="dxa"/>
                  <w:vMerge w:val="restart"/>
                  <w:vAlign w:val="center"/>
                </w:tcPr>
                <w:p>
                  <w:pPr>
                    <w:pStyle w:val="68"/>
                    <w:rPr>
                      <w:b/>
                      <w:bCs w:val="0"/>
                      <w:color w:val="auto"/>
                    </w:rPr>
                  </w:pPr>
                  <w:r>
                    <w:rPr>
                      <w:rFonts w:hint="eastAsia"/>
                      <w:b/>
                      <w:bCs w:val="0"/>
                      <w:color w:val="auto"/>
                    </w:rPr>
                    <w:t>检测点位</w:t>
                  </w:r>
                </w:p>
              </w:tc>
              <w:tc>
                <w:tcPr>
                  <w:tcW w:w="4715" w:type="dxa"/>
                  <w:gridSpan w:val="2"/>
                  <w:vAlign w:val="center"/>
                </w:tcPr>
                <w:p>
                  <w:pPr>
                    <w:pStyle w:val="68"/>
                    <w:rPr>
                      <w:b/>
                      <w:bCs w:val="0"/>
                      <w:color w:val="auto"/>
                    </w:rPr>
                  </w:pPr>
                  <w:r>
                    <w:rPr>
                      <w:rFonts w:hint="eastAsia"/>
                      <w:b/>
                      <w:bCs w:val="0"/>
                      <w:color w:val="auto"/>
                    </w:rPr>
                    <w:t>检测结果Leq[dB（A）]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430" w:type="dxa"/>
                  <w:vMerge w:val="continue"/>
                  <w:vAlign w:val="center"/>
                </w:tcPr>
                <w:p>
                  <w:pPr>
                    <w:pStyle w:val="68"/>
                    <w:rPr>
                      <w:b/>
                      <w:bCs w:val="0"/>
                      <w:color w:val="auto"/>
                    </w:rPr>
                  </w:pPr>
                </w:p>
              </w:tc>
              <w:tc>
                <w:tcPr>
                  <w:tcW w:w="2075" w:type="dxa"/>
                  <w:vMerge w:val="continue"/>
                  <w:vAlign w:val="center"/>
                </w:tcPr>
                <w:p>
                  <w:pPr>
                    <w:pStyle w:val="68"/>
                    <w:rPr>
                      <w:b/>
                      <w:bCs w:val="0"/>
                      <w:color w:val="auto"/>
                    </w:rPr>
                  </w:pPr>
                </w:p>
              </w:tc>
              <w:tc>
                <w:tcPr>
                  <w:tcW w:w="2500" w:type="dxa"/>
                  <w:vAlign w:val="center"/>
                </w:tcPr>
                <w:p>
                  <w:pPr>
                    <w:pStyle w:val="68"/>
                    <w:rPr>
                      <w:b/>
                      <w:bCs w:val="0"/>
                      <w:color w:val="auto"/>
                    </w:rPr>
                  </w:pPr>
                  <w:r>
                    <w:rPr>
                      <w:rFonts w:hint="eastAsia"/>
                      <w:b/>
                      <w:bCs w:val="0"/>
                      <w:color w:val="auto"/>
                    </w:rPr>
                    <w:t>2019.12.03</w:t>
                  </w:r>
                </w:p>
              </w:tc>
              <w:tc>
                <w:tcPr>
                  <w:tcW w:w="2215" w:type="dxa"/>
                  <w:vAlign w:val="center"/>
                </w:tcPr>
                <w:p>
                  <w:pPr>
                    <w:pStyle w:val="68"/>
                    <w:rPr>
                      <w:b/>
                      <w:bCs w:val="0"/>
                      <w:color w:val="auto"/>
                    </w:rPr>
                  </w:pPr>
                  <w:r>
                    <w:rPr>
                      <w:rFonts w:hint="eastAsia"/>
                      <w:b/>
                      <w:bCs w:val="0"/>
                      <w:color w:val="auto"/>
                    </w:rPr>
                    <w:t>2019.12.04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430" w:type="dxa"/>
                  <w:vMerge w:val="continue"/>
                  <w:vAlign w:val="center"/>
                </w:tcPr>
                <w:p>
                  <w:pPr>
                    <w:pStyle w:val="68"/>
                    <w:rPr>
                      <w:b/>
                      <w:bCs w:val="0"/>
                      <w:color w:val="auto"/>
                    </w:rPr>
                  </w:pPr>
                </w:p>
              </w:tc>
              <w:tc>
                <w:tcPr>
                  <w:tcW w:w="2075" w:type="dxa"/>
                  <w:vMerge w:val="continue"/>
                  <w:vAlign w:val="center"/>
                </w:tcPr>
                <w:p>
                  <w:pPr>
                    <w:pStyle w:val="68"/>
                    <w:rPr>
                      <w:b/>
                      <w:bCs w:val="0"/>
                      <w:color w:val="auto"/>
                    </w:rPr>
                  </w:pPr>
                </w:p>
              </w:tc>
              <w:tc>
                <w:tcPr>
                  <w:tcW w:w="2500" w:type="dxa"/>
                  <w:vAlign w:val="center"/>
                </w:tcPr>
                <w:p>
                  <w:pPr>
                    <w:pStyle w:val="68"/>
                    <w:rPr>
                      <w:b/>
                      <w:bCs w:val="0"/>
                      <w:color w:val="auto"/>
                    </w:rPr>
                  </w:pPr>
                  <w:r>
                    <w:rPr>
                      <w:rFonts w:hint="eastAsia"/>
                      <w:b/>
                      <w:bCs w:val="0"/>
                      <w:color w:val="auto"/>
                    </w:rPr>
                    <w:t>昼间</w:t>
                  </w:r>
                </w:p>
              </w:tc>
              <w:tc>
                <w:tcPr>
                  <w:tcW w:w="2215" w:type="dxa"/>
                  <w:vAlign w:val="center"/>
                </w:tcPr>
                <w:p>
                  <w:pPr>
                    <w:pStyle w:val="68"/>
                    <w:rPr>
                      <w:b/>
                      <w:bCs w:val="0"/>
                      <w:color w:val="auto"/>
                    </w:rPr>
                  </w:pPr>
                  <w:r>
                    <w:rPr>
                      <w:rFonts w:hint="eastAsia"/>
                      <w:b/>
                      <w:bCs w:val="0"/>
                      <w:color w:val="auto"/>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430" w:type="dxa"/>
                  <w:vAlign w:val="center"/>
                </w:tcPr>
                <w:p>
                  <w:pPr>
                    <w:pStyle w:val="68"/>
                    <w:rPr>
                      <w:color w:val="auto"/>
                    </w:rPr>
                  </w:pPr>
                  <w:r>
                    <w:rPr>
                      <w:rFonts w:hint="eastAsia"/>
                      <w:color w:val="auto"/>
                    </w:rPr>
                    <w:t>N1</w:t>
                  </w:r>
                </w:p>
              </w:tc>
              <w:tc>
                <w:tcPr>
                  <w:tcW w:w="2075" w:type="dxa"/>
                  <w:vAlign w:val="center"/>
                </w:tcPr>
                <w:p>
                  <w:pPr>
                    <w:pStyle w:val="68"/>
                    <w:rPr>
                      <w:color w:val="auto"/>
                    </w:rPr>
                  </w:pPr>
                  <w:r>
                    <w:rPr>
                      <w:rFonts w:hint="eastAsia"/>
                      <w:color w:val="auto"/>
                    </w:rPr>
                    <w:t>东厂界外1m</w:t>
                  </w:r>
                </w:p>
              </w:tc>
              <w:tc>
                <w:tcPr>
                  <w:tcW w:w="2500" w:type="dxa"/>
                  <w:vAlign w:val="center"/>
                </w:tcPr>
                <w:p>
                  <w:pPr>
                    <w:pStyle w:val="68"/>
                    <w:rPr>
                      <w:color w:val="auto"/>
                    </w:rPr>
                  </w:pPr>
                  <w:r>
                    <w:rPr>
                      <w:rFonts w:hint="eastAsia"/>
                      <w:color w:val="auto"/>
                    </w:rPr>
                    <w:t>54</w:t>
                  </w:r>
                </w:p>
              </w:tc>
              <w:tc>
                <w:tcPr>
                  <w:tcW w:w="2215" w:type="dxa"/>
                  <w:vAlign w:val="center"/>
                </w:tcPr>
                <w:p>
                  <w:pPr>
                    <w:pStyle w:val="68"/>
                    <w:rPr>
                      <w:color w:val="auto"/>
                    </w:rPr>
                  </w:pPr>
                  <w:r>
                    <w:rPr>
                      <w:rFonts w:hint="eastAsia"/>
                      <w:color w:val="auto"/>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430" w:type="dxa"/>
                  <w:vAlign w:val="center"/>
                </w:tcPr>
                <w:p>
                  <w:pPr>
                    <w:pStyle w:val="68"/>
                    <w:rPr>
                      <w:color w:val="auto"/>
                    </w:rPr>
                  </w:pPr>
                  <w:r>
                    <w:rPr>
                      <w:rFonts w:hint="eastAsia"/>
                      <w:color w:val="auto"/>
                    </w:rPr>
                    <w:t>N2</w:t>
                  </w:r>
                </w:p>
              </w:tc>
              <w:tc>
                <w:tcPr>
                  <w:tcW w:w="2075" w:type="dxa"/>
                  <w:vAlign w:val="center"/>
                </w:tcPr>
                <w:p>
                  <w:pPr>
                    <w:pStyle w:val="68"/>
                    <w:rPr>
                      <w:color w:val="auto"/>
                    </w:rPr>
                  </w:pPr>
                  <w:r>
                    <w:rPr>
                      <w:rFonts w:hint="eastAsia"/>
                      <w:color w:val="auto"/>
                    </w:rPr>
                    <w:t>南厂界外1m</w:t>
                  </w:r>
                </w:p>
              </w:tc>
              <w:tc>
                <w:tcPr>
                  <w:tcW w:w="2500" w:type="dxa"/>
                  <w:vAlign w:val="center"/>
                </w:tcPr>
                <w:p>
                  <w:pPr>
                    <w:pStyle w:val="68"/>
                    <w:rPr>
                      <w:color w:val="auto"/>
                    </w:rPr>
                  </w:pPr>
                  <w:r>
                    <w:rPr>
                      <w:rFonts w:hint="eastAsia"/>
                      <w:color w:val="auto"/>
                    </w:rPr>
                    <w:t>50</w:t>
                  </w:r>
                </w:p>
              </w:tc>
              <w:tc>
                <w:tcPr>
                  <w:tcW w:w="2215" w:type="dxa"/>
                  <w:vAlign w:val="center"/>
                </w:tcPr>
                <w:p>
                  <w:pPr>
                    <w:pStyle w:val="68"/>
                    <w:rPr>
                      <w:color w:val="auto"/>
                    </w:rPr>
                  </w:pPr>
                  <w:r>
                    <w:rPr>
                      <w:rFonts w:hint="eastAsia"/>
                      <w:color w:val="auto"/>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430" w:type="dxa"/>
                  <w:vAlign w:val="center"/>
                </w:tcPr>
                <w:p>
                  <w:pPr>
                    <w:pStyle w:val="68"/>
                    <w:rPr>
                      <w:color w:val="auto"/>
                    </w:rPr>
                  </w:pPr>
                  <w:r>
                    <w:rPr>
                      <w:rFonts w:hint="eastAsia"/>
                      <w:color w:val="auto"/>
                    </w:rPr>
                    <w:t>N3</w:t>
                  </w:r>
                </w:p>
              </w:tc>
              <w:tc>
                <w:tcPr>
                  <w:tcW w:w="2075" w:type="dxa"/>
                  <w:vAlign w:val="center"/>
                </w:tcPr>
                <w:p>
                  <w:pPr>
                    <w:pStyle w:val="68"/>
                    <w:rPr>
                      <w:color w:val="auto"/>
                    </w:rPr>
                  </w:pPr>
                  <w:r>
                    <w:rPr>
                      <w:rFonts w:hint="eastAsia"/>
                      <w:color w:val="auto"/>
                    </w:rPr>
                    <w:t>西厂界外1m</w:t>
                  </w:r>
                </w:p>
              </w:tc>
              <w:tc>
                <w:tcPr>
                  <w:tcW w:w="2500" w:type="dxa"/>
                  <w:vAlign w:val="center"/>
                </w:tcPr>
                <w:p>
                  <w:pPr>
                    <w:pStyle w:val="68"/>
                    <w:rPr>
                      <w:color w:val="auto"/>
                    </w:rPr>
                  </w:pPr>
                  <w:r>
                    <w:rPr>
                      <w:rFonts w:hint="eastAsia"/>
                      <w:color w:val="auto"/>
                    </w:rPr>
                    <w:t>51</w:t>
                  </w:r>
                </w:p>
              </w:tc>
              <w:tc>
                <w:tcPr>
                  <w:tcW w:w="2215" w:type="dxa"/>
                  <w:vAlign w:val="center"/>
                </w:tcPr>
                <w:p>
                  <w:pPr>
                    <w:pStyle w:val="68"/>
                    <w:rPr>
                      <w:color w:val="auto"/>
                    </w:rPr>
                  </w:pPr>
                  <w:r>
                    <w:rPr>
                      <w:rFonts w:hint="eastAsia"/>
                      <w:color w:val="auto"/>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430" w:type="dxa"/>
                  <w:vAlign w:val="center"/>
                </w:tcPr>
                <w:p>
                  <w:pPr>
                    <w:pStyle w:val="68"/>
                    <w:rPr>
                      <w:color w:val="auto"/>
                    </w:rPr>
                  </w:pPr>
                  <w:r>
                    <w:rPr>
                      <w:rFonts w:hint="eastAsia"/>
                      <w:color w:val="auto"/>
                    </w:rPr>
                    <w:t>N4</w:t>
                  </w:r>
                </w:p>
              </w:tc>
              <w:tc>
                <w:tcPr>
                  <w:tcW w:w="2075" w:type="dxa"/>
                  <w:vAlign w:val="center"/>
                </w:tcPr>
                <w:p>
                  <w:pPr>
                    <w:pStyle w:val="68"/>
                    <w:rPr>
                      <w:color w:val="auto"/>
                    </w:rPr>
                  </w:pPr>
                  <w:r>
                    <w:rPr>
                      <w:rFonts w:hint="eastAsia"/>
                      <w:color w:val="auto"/>
                    </w:rPr>
                    <w:t>北厂界外1m</w:t>
                  </w:r>
                </w:p>
              </w:tc>
              <w:tc>
                <w:tcPr>
                  <w:tcW w:w="2500" w:type="dxa"/>
                  <w:vAlign w:val="center"/>
                </w:tcPr>
                <w:p>
                  <w:pPr>
                    <w:pStyle w:val="68"/>
                    <w:rPr>
                      <w:color w:val="auto"/>
                    </w:rPr>
                  </w:pPr>
                  <w:r>
                    <w:rPr>
                      <w:rFonts w:hint="eastAsia"/>
                      <w:color w:val="auto"/>
                    </w:rPr>
                    <w:t>52</w:t>
                  </w:r>
                </w:p>
              </w:tc>
              <w:tc>
                <w:tcPr>
                  <w:tcW w:w="2215" w:type="dxa"/>
                  <w:vAlign w:val="center"/>
                </w:tcPr>
                <w:p>
                  <w:pPr>
                    <w:pStyle w:val="68"/>
                    <w:rPr>
                      <w:color w:val="auto"/>
                    </w:rPr>
                  </w:pPr>
                  <w:r>
                    <w:rPr>
                      <w:rFonts w:hint="eastAsia"/>
                      <w:color w:val="auto"/>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3505" w:type="dxa"/>
                  <w:gridSpan w:val="2"/>
                  <w:vAlign w:val="center"/>
                </w:tcPr>
                <w:p>
                  <w:pPr>
                    <w:pStyle w:val="68"/>
                    <w:rPr>
                      <w:color w:val="auto"/>
                    </w:rPr>
                  </w:pPr>
                  <w:r>
                    <w:rPr>
                      <w:rFonts w:hint="eastAsia"/>
                      <w:color w:val="auto"/>
                    </w:rPr>
                    <w:t>标准限值</w:t>
                  </w:r>
                </w:p>
              </w:tc>
              <w:tc>
                <w:tcPr>
                  <w:tcW w:w="2500" w:type="dxa"/>
                  <w:vAlign w:val="center"/>
                </w:tcPr>
                <w:p>
                  <w:pPr>
                    <w:pStyle w:val="68"/>
                    <w:rPr>
                      <w:color w:val="auto"/>
                    </w:rPr>
                  </w:pPr>
                  <w:r>
                    <w:rPr>
                      <w:rFonts w:hint="eastAsia"/>
                      <w:color w:val="auto"/>
                    </w:rPr>
                    <w:t>65</w:t>
                  </w:r>
                </w:p>
              </w:tc>
              <w:tc>
                <w:tcPr>
                  <w:tcW w:w="2215" w:type="dxa"/>
                  <w:vAlign w:val="center"/>
                </w:tcPr>
                <w:p>
                  <w:pPr>
                    <w:pStyle w:val="68"/>
                    <w:rPr>
                      <w:color w:val="auto"/>
                    </w:rPr>
                  </w:pPr>
                  <w:r>
                    <w:rPr>
                      <w:rFonts w:hint="eastAsia"/>
                      <w:color w:val="auto"/>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3505" w:type="dxa"/>
                  <w:gridSpan w:val="2"/>
                  <w:vAlign w:val="center"/>
                </w:tcPr>
                <w:p>
                  <w:pPr>
                    <w:pStyle w:val="68"/>
                    <w:rPr>
                      <w:color w:val="auto"/>
                    </w:rPr>
                  </w:pPr>
                  <w:r>
                    <w:rPr>
                      <w:rFonts w:hint="eastAsia"/>
                      <w:color w:val="auto"/>
                    </w:rPr>
                    <w:t>执行标准</w:t>
                  </w:r>
                </w:p>
              </w:tc>
              <w:tc>
                <w:tcPr>
                  <w:tcW w:w="4715" w:type="dxa"/>
                  <w:gridSpan w:val="2"/>
                  <w:vAlign w:val="center"/>
                </w:tcPr>
                <w:p>
                  <w:pPr>
                    <w:pStyle w:val="68"/>
                    <w:rPr>
                      <w:color w:val="auto"/>
                    </w:rPr>
                  </w:pPr>
                  <w:r>
                    <w:rPr>
                      <w:rFonts w:hint="eastAsia"/>
                      <w:color w:val="auto"/>
                    </w:rPr>
                    <w:t>《工业企业厂界环境噪声排放标准》GB 12348-2008 3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3505" w:type="dxa"/>
                  <w:gridSpan w:val="2"/>
                  <w:vAlign w:val="center"/>
                </w:tcPr>
                <w:p>
                  <w:pPr>
                    <w:pStyle w:val="68"/>
                    <w:rPr>
                      <w:color w:val="auto"/>
                    </w:rPr>
                  </w:pPr>
                  <w:r>
                    <w:rPr>
                      <w:rFonts w:hint="eastAsia"/>
                      <w:color w:val="auto"/>
                    </w:rPr>
                    <w:t>气象参数</w:t>
                  </w:r>
                </w:p>
              </w:tc>
              <w:tc>
                <w:tcPr>
                  <w:tcW w:w="2500" w:type="dxa"/>
                  <w:vAlign w:val="center"/>
                </w:tcPr>
                <w:p>
                  <w:pPr>
                    <w:pStyle w:val="68"/>
                    <w:rPr>
                      <w:color w:val="auto"/>
                    </w:rPr>
                  </w:pPr>
                  <w:r>
                    <w:rPr>
                      <w:rFonts w:hint="eastAsia"/>
                      <w:color w:val="auto"/>
                    </w:rPr>
                    <w:t>天气：晴，风速：0.6m/s</w:t>
                  </w:r>
                </w:p>
              </w:tc>
              <w:tc>
                <w:tcPr>
                  <w:tcW w:w="2215" w:type="dxa"/>
                  <w:vAlign w:val="center"/>
                </w:tcPr>
                <w:p>
                  <w:pPr>
                    <w:pStyle w:val="68"/>
                    <w:rPr>
                      <w:color w:val="auto"/>
                    </w:rPr>
                  </w:pPr>
                  <w:r>
                    <w:rPr>
                      <w:rFonts w:hint="eastAsia"/>
                      <w:color w:val="auto"/>
                    </w:rPr>
                    <w:t>天气：晴，风速：0.7m/s</w:t>
                  </w:r>
                </w:p>
              </w:tc>
            </w:tr>
          </w:tbl>
          <w:p>
            <w:pPr>
              <w:pStyle w:val="49"/>
              <w:spacing w:before="120" w:beforeLines="50"/>
              <w:ind w:firstLine="480"/>
            </w:pPr>
            <w:r>
              <w:rPr>
                <w:rFonts w:hint="eastAsia"/>
              </w:rPr>
              <w:t>验收监测期间，波力食品工业（滁州）有限公司夜间不生产，昼间 厂界噪声范围在 49-54dB（A），符合《工业企业厂界环境噪声排放标准》 （GB12348-2008）3 类标准限值的要求。</w:t>
            </w:r>
          </w:p>
          <w:p>
            <w:pPr>
              <w:pStyle w:val="49"/>
              <w:ind w:firstLine="482"/>
              <w:rPr>
                <w:rFonts w:ascii="宋体" w:hAnsi="宋体"/>
                <w:b/>
                <w:szCs w:val="21"/>
              </w:rPr>
            </w:pPr>
            <w:r>
              <w:rPr>
                <w:rFonts w:hint="eastAsia" w:ascii="宋体" w:hAnsi="宋体"/>
                <w:b/>
                <w:szCs w:val="21"/>
              </w:rPr>
              <w:t>4、固废</w:t>
            </w:r>
          </w:p>
          <w:p>
            <w:pPr>
              <w:pStyle w:val="49"/>
              <w:ind w:firstLine="480"/>
              <w:rPr>
                <w:rFonts w:ascii="宋体" w:hAnsi="宋体"/>
                <w:bCs/>
                <w:szCs w:val="21"/>
              </w:rPr>
            </w:pPr>
            <w:r>
              <w:rPr>
                <w:rFonts w:hint="eastAsia" w:ascii="宋体" w:hAnsi="宋体"/>
                <w:bCs/>
                <w:szCs w:val="21"/>
              </w:rPr>
              <w:t>本项目的固体废物主要为生活垃圾、不合格原料、不合格产品、废 包装材料、污泥。</w:t>
            </w:r>
          </w:p>
          <w:p>
            <w:pPr>
              <w:pStyle w:val="49"/>
              <w:ind w:firstLine="482"/>
              <w:jc w:val="center"/>
              <w:rPr>
                <w:rFonts w:ascii="宋体" w:hAnsi="宋体"/>
                <w:bCs/>
                <w:szCs w:val="21"/>
              </w:rPr>
            </w:pPr>
            <w:r>
              <w:rPr>
                <w:b/>
                <w:szCs w:val="21"/>
              </w:rPr>
              <w:t xml:space="preserve">表 </w:t>
            </w:r>
            <w:r>
              <w:rPr>
                <w:rFonts w:hint="eastAsia"/>
                <w:b/>
                <w:szCs w:val="21"/>
              </w:rPr>
              <w:t>2-14</w:t>
            </w:r>
            <w:r>
              <w:rPr>
                <w:b/>
                <w:szCs w:val="21"/>
              </w:rPr>
              <w:t xml:space="preserve"> 项目固体废物产生及处置情况一览表</w:t>
            </w:r>
          </w:p>
          <w:tbl>
            <w:tblPr>
              <w:tblStyle w:val="23"/>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212"/>
              <w:gridCol w:w="1513"/>
              <w:gridCol w:w="275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280" w:type="dxa"/>
                  <w:vAlign w:val="center"/>
                </w:tcPr>
                <w:p>
                  <w:pPr>
                    <w:pStyle w:val="68"/>
                    <w:rPr>
                      <w:b/>
                      <w:bCs w:val="0"/>
                      <w:color w:val="auto"/>
                    </w:rPr>
                  </w:pPr>
                  <w:r>
                    <w:rPr>
                      <w:rFonts w:hint="eastAsia"/>
                      <w:b/>
                      <w:bCs w:val="0"/>
                      <w:color w:val="auto"/>
                    </w:rPr>
                    <w:t>废物名称</w:t>
                  </w:r>
                </w:p>
              </w:tc>
              <w:tc>
                <w:tcPr>
                  <w:tcW w:w="1212" w:type="dxa"/>
                  <w:vAlign w:val="center"/>
                </w:tcPr>
                <w:p>
                  <w:pPr>
                    <w:pStyle w:val="68"/>
                    <w:rPr>
                      <w:b/>
                      <w:bCs w:val="0"/>
                      <w:color w:val="auto"/>
                    </w:rPr>
                  </w:pPr>
                  <w:r>
                    <w:rPr>
                      <w:rFonts w:hint="eastAsia"/>
                      <w:b/>
                      <w:bCs w:val="0"/>
                      <w:color w:val="auto"/>
                    </w:rPr>
                    <w:t>废物性质</w:t>
                  </w:r>
                </w:p>
              </w:tc>
              <w:tc>
                <w:tcPr>
                  <w:tcW w:w="1513" w:type="dxa"/>
                  <w:vAlign w:val="center"/>
                </w:tcPr>
                <w:p>
                  <w:pPr>
                    <w:pStyle w:val="68"/>
                    <w:rPr>
                      <w:b/>
                      <w:bCs w:val="0"/>
                      <w:color w:val="auto"/>
                    </w:rPr>
                  </w:pPr>
                  <w:r>
                    <w:rPr>
                      <w:rFonts w:hint="eastAsia"/>
                      <w:b/>
                      <w:bCs w:val="0"/>
                      <w:color w:val="auto"/>
                    </w:rPr>
                    <w:t>产生量（t/a）</w:t>
                  </w:r>
                </w:p>
              </w:tc>
              <w:tc>
                <w:tcPr>
                  <w:tcW w:w="2750" w:type="dxa"/>
                  <w:vAlign w:val="center"/>
                </w:tcPr>
                <w:p>
                  <w:pPr>
                    <w:pStyle w:val="68"/>
                    <w:rPr>
                      <w:b/>
                      <w:bCs w:val="0"/>
                      <w:color w:val="auto"/>
                    </w:rPr>
                  </w:pPr>
                  <w:r>
                    <w:rPr>
                      <w:rFonts w:hint="eastAsia"/>
                      <w:b/>
                      <w:bCs w:val="0"/>
                      <w:color w:val="auto"/>
                    </w:rPr>
                    <w:t>处置方式</w:t>
                  </w:r>
                </w:p>
              </w:tc>
              <w:tc>
                <w:tcPr>
                  <w:tcW w:w="1465" w:type="dxa"/>
                  <w:vAlign w:val="center"/>
                </w:tcPr>
                <w:p>
                  <w:pPr>
                    <w:pStyle w:val="68"/>
                    <w:rPr>
                      <w:b/>
                      <w:bCs w:val="0"/>
                      <w:color w:val="auto"/>
                    </w:rPr>
                  </w:pPr>
                  <w:r>
                    <w:rPr>
                      <w:rFonts w:hint="eastAsia"/>
                      <w:b/>
                      <w:bCs w:val="0"/>
                      <w:color w:val="auto"/>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280" w:type="dxa"/>
                  <w:vAlign w:val="center"/>
                </w:tcPr>
                <w:p>
                  <w:pPr>
                    <w:pStyle w:val="68"/>
                    <w:rPr>
                      <w:color w:val="auto"/>
                    </w:rPr>
                  </w:pPr>
                  <w:r>
                    <w:rPr>
                      <w:rFonts w:hint="eastAsia"/>
                      <w:color w:val="auto"/>
                    </w:rPr>
                    <w:t>生活垃圾</w:t>
                  </w:r>
                </w:p>
              </w:tc>
              <w:tc>
                <w:tcPr>
                  <w:tcW w:w="1212" w:type="dxa"/>
                  <w:vMerge w:val="restart"/>
                  <w:vAlign w:val="center"/>
                </w:tcPr>
                <w:p>
                  <w:pPr>
                    <w:pStyle w:val="68"/>
                    <w:rPr>
                      <w:color w:val="auto"/>
                    </w:rPr>
                  </w:pPr>
                  <w:r>
                    <w:rPr>
                      <w:rFonts w:hint="eastAsia"/>
                      <w:color w:val="auto"/>
                    </w:rPr>
                    <w:t>一般固废</w:t>
                  </w:r>
                </w:p>
              </w:tc>
              <w:tc>
                <w:tcPr>
                  <w:tcW w:w="1513" w:type="dxa"/>
                  <w:vAlign w:val="center"/>
                </w:tcPr>
                <w:p>
                  <w:pPr>
                    <w:pStyle w:val="68"/>
                    <w:rPr>
                      <w:color w:val="auto"/>
                    </w:rPr>
                  </w:pPr>
                  <w:r>
                    <w:rPr>
                      <w:rFonts w:hint="eastAsia"/>
                      <w:color w:val="auto"/>
                    </w:rPr>
                    <w:t>7.5</w:t>
                  </w:r>
                </w:p>
              </w:tc>
              <w:tc>
                <w:tcPr>
                  <w:tcW w:w="2750" w:type="dxa"/>
                  <w:vAlign w:val="center"/>
                </w:tcPr>
                <w:p>
                  <w:pPr>
                    <w:pStyle w:val="68"/>
                    <w:rPr>
                      <w:color w:val="auto"/>
                    </w:rPr>
                  </w:pPr>
                  <w:r>
                    <w:rPr>
                      <w:rFonts w:hint="eastAsia"/>
                      <w:color w:val="auto"/>
                    </w:rPr>
                    <w:t>生活垃圾统一收集后，交由当 地环卫部门定期清运</w:t>
                  </w:r>
                </w:p>
              </w:tc>
              <w:tc>
                <w:tcPr>
                  <w:tcW w:w="1465" w:type="dxa"/>
                  <w:vAlign w:val="center"/>
                </w:tcPr>
                <w:p>
                  <w:pPr>
                    <w:pStyle w:val="68"/>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280" w:type="dxa"/>
                  <w:vAlign w:val="center"/>
                </w:tcPr>
                <w:p>
                  <w:pPr>
                    <w:pStyle w:val="68"/>
                    <w:rPr>
                      <w:color w:val="auto"/>
                    </w:rPr>
                  </w:pPr>
                  <w:r>
                    <w:rPr>
                      <w:rFonts w:hint="eastAsia"/>
                      <w:color w:val="auto"/>
                    </w:rPr>
                    <w:t>不合格原料</w:t>
                  </w:r>
                </w:p>
              </w:tc>
              <w:tc>
                <w:tcPr>
                  <w:tcW w:w="1212" w:type="dxa"/>
                  <w:vMerge w:val="continue"/>
                  <w:vAlign w:val="center"/>
                </w:tcPr>
                <w:p>
                  <w:pPr>
                    <w:pStyle w:val="68"/>
                    <w:rPr>
                      <w:color w:val="auto"/>
                    </w:rPr>
                  </w:pPr>
                </w:p>
              </w:tc>
              <w:tc>
                <w:tcPr>
                  <w:tcW w:w="1513" w:type="dxa"/>
                  <w:vAlign w:val="center"/>
                </w:tcPr>
                <w:p>
                  <w:pPr>
                    <w:pStyle w:val="68"/>
                    <w:rPr>
                      <w:color w:val="auto"/>
                    </w:rPr>
                  </w:pPr>
                  <w:r>
                    <w:rPr>
                      <w:rFonts w:hint="eastAsia"/>
                      <w:color w:val="auto"/>
                    </w:rPr>
                    <w:t>5</w:t>
                  </w:r>
                </w:p>
              </w:tc>
              <w:tc>
                <w:tcPr>
                  <w:tcW w:w="2750" w:type="dxa"/>
                  <w:vAlign w:val="center"/>
                </w:tcPr>
                <w:p>
                  <w:pPr>
                    <w:pStyle w:val="68"/>
                    <w:rPr>
                      <w:color w:val="auto"/>
                    </w:rPr>
                  </w:pPr>
                  <w:r>
                    <w:rPr>
                      <w:rFonts w:hint="eastAsia"/>
                      <w:color w:val="auto"/>
                    </w:rPr>
                    <w:t>厂内收集后委托环卫部门清运</w:t>
                  </w:r>
                </w:p>
              </w:tc>
              <w:tc>
                <w:tcPr>
                  <w:tcW w:w="1465" w:type="dxa"/>
                  <w:vAlign w:val="center"/>
                </w:tcPr>
                <w:p>
                  <w:pPr>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280" w:type="dxa"/>
                  <w:vAlign w:val="center"/>
                </w:tcPr>
                <w:p>
                  <w:pPr>
                    <w:pStyle w:val="68"/>
                    <w:rPr>
                      <w:color w:val="auto"/>
                    </w:rPr>
                  </w:pPr>
                  <w:r>
                    <w:rPr>
                      <w:rFonts w:hint="eastAsia"/>
                      <w:color w:val="auto"/>
                    </w:rPr>
                    <w:t>不合格产品</w:t>
                  </w:r>
                </w:p>
              </w:tc>
              <w:tc>
                <w:tcPr>
                  <w:tcW w:w="1212" w:type="dxa"/>
                  <w:vMerge w:val="continue"/>
                  <w:vAlign w:val="center"/>
                </w:tcPr>
                <w:p>
                  <w:pPr>
                    <w:pStyle w:val="68"/>
                    <w:rPr>
                      <w:color w:val="auto"/>
                    </w:rPr>
                  </w:pPr>
                </w:p>
              </w:tc>
              <w:tc>
                <w:tcPr>
                  <w:tcW w:w="1513" w:type="dxa"/>
                  <w:vAlign w:val="center"/>
                </w:tcPr>
                <w:p>
                  <w:pPr>
                    <w:pStyle w:val="68"/>
                    <w:rPr>
                      <w:color w:val="auto"/>
                    </w:rPr>
                  </w:pPr>
                  <w:r>
                    <w:rPr>
                      <w:rFonts w:hint="eastAsia"/>
                      <w:color w:val="auto"/>
                    </w:rPr>
                    <w:t>5</w:t>
                  </w:r>
                </w:p>
              </w:tc>
              <w:tc>
                <w:tcPr>
                  <w:tcW w:w="2750" w:type="dxa"/>
                  <w:vAlign w:val="center"/>
                </w:tcPr>
                <w:p>
                  <w:pPr>
                    <w:pStyle w:val="68"/>
                    <w:rPr>
                      <w:color w:val="auto"/>
                    </w:rPr>
                  </w:pPr>
                  <w:r>
                    <w:rPr>
                      <w:rFonts w:hint="eastAsia"/>
                      <w:color w:val="auto"/>
                    </w:rPr>
                    <w:t>交由厂家回收处理</w:t>
                  </w:r>
                </w:p>
              </w:tc>
              <w:tc>
                <w:tcPr>
                  <w:tcW w:w="1465" w:type="dxa"/>
                  <w:vAlign w:val="center"/>
                </w:tcPr>
                <w:p>
                  <w:pPr>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280" w:type="dxa"/>
                  <w:vAlign w:val="center"/>
                </w:tcPr>
                <w:p>
                  <w:pPr>
                    <w:pStyle w:val="68"/>
                    <w:rPr>
                      <w:color w:val="auto"/>
                    </w:rPr>
                  </w:pPr>
                  <w:r>
                    <w:rPr>
                      <w:rFonts w:hint="eastAsia"/>
                      <w:color w:val="auto"/>
                    </w:rPr>
                    <w:t>废包装材料</w:t>
                  </w:r>
                </w:p>
              </w:tc>
              <w:tc>
                <w:tcPr>
                  <w:tcW w:w="1212" w:type="dxa"/>
                  <w:vMerge w:val="continue"/>
                  <w:vAlign w:val="center"/>
                </w:tcPr>
                <w:p>
                  <w:pPr>
                    <w:pStyle w:val="68"/>
                    <w:rPr>
                      <w:color w:val="auto"/>
                    </w:rPr>
                  </w:pPr>
                </w:p>
              </w:tc>
              <w:tc>
                <w:tcPr>
                  <w:tcW w:w="1513" w:type="dxa"/>
                  <w:vAlign w:val="center"/>
                </w:tcPr>
                <w:p>
                  <w:pPr>
                    <w:pStyle w:val="68"/>
                    <w:rPr>
                      <w:color w:val="auto"/>
                    </w:rPr>
                  </w:pPr>
                  <w:r>
                    <w:rPr>
                      <w:rFonts w:hint="eastAsia"/>
                      <w:color w:val="auto"/>
                    </w:rPr>
                    <w:t>0.05</w:t>
                  </w:r>
                </w:p>
              </w:tc>
              <w:tc>
                <w:tcPr>
                  <w:tcW w:w="2750" w:type="dxa"/>
                  <w:vAlign w:val="center"/>
                </w:tcPr>
                <w:p>
                  <w:pPr>
                    <w:pStyle w:val="68"/>
                    <w:rPr>
                      <w:color w:val="auto"/>
                    </w:rPr>
                  </w:pPr>
                  <w:r>
                    <w:rPr>
                      <w:rFonts w:hint="eastAsia"/>
                      <w:color w:val="auto"/>
                    </w:rPr>
                    <w:t>委托环卫部门清运</w:t>
                  </w:r>
                </w:p>
              </w:tc>
              <w:tc>
                <w:tcPr>
                  <w:tcW w:w="1465" w:type="dxa"/>
                  <w:vAlign w:val="center"/>
                </w:tcPr>
                <w:p>
                  <w:pPr>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280" w:type="dxa"/>
                  <w:vAlign w:val="center"/>
                </w:tcPr>
                <w:p>
                  <w:pPr>
                    <w:pStyle w:val="68"/>
                    <w:rPr>
                      <w:color w:val="auto"/>
                    </w:rPr>
                  </w:pPr>
                  <w:r>
                    <w:rPr>
                      <w:rFonts w:hint="eastAsia"/>
                      <w:color w:val="auto"/>
                    </w:rPr>
                    <w:t>污泥</w:t>
                  </w:r>
                </w:p>
              </w:tc>
              <w:tc>
                <w:tcPr>
                  <w:tcW w:w="1212" w:type="dxa"/>
                  <w:vMerge w:val="continue"/>
                  <w:vAlign w:val="center"/>
                </w:tcPr>
                <w:p>
                  <w:pPr>
                    <w:pStyle w:val="68"/>
                    <w:rPr>
                      <w:color w:val="auto"/>
                    </w:rPr>
                  </w:pPr>
                </w:p>
              </w:tc>
              <w:tc>
                <w:tcPr>
                  <w:tcW w:w="1513" w:type="dxa"/>
                  <w:vAlign w:val="center"/>
                </w:tcPr>
                <w:p>
                  <w:pPr>
                    <w:pStyle w:val="68"/>
                    <w:rPr>
                      <w:color w:val="auto"/>
                    </w:rPr>
                  </w:pPr>
                  <w:r>
                    <w:rPr>
                      <w:rFonts w:hint="eastAsia"/>
                      <w:color w:val="auto"/>
                    </w:rPr>
                    <w:t>0.55</w:t>
                  </w:r>
                </w:p>
              </w:tc>
              <w:tc>
                <w:tcPr>
                  <w:tcW w:w="2750" w:type="dxa"/>
                  <w:vAlign w:val="center"/>
                </w:tcPr>
                <w:p>
                  <w:pPr>
                    <w:pStyle w:val="68"/>
                    <w:rPr>
                      <w:color w:val="auto"/>
                    </w:rPr>
                  </w:pPr>
                  <w:r>
                    <w:rPr>
                      <w:rFonts w:hint="eastAsia"/>
                      <w:color w:val="auto"/>
                    </w:rPr>
                    <w:t>厂内暂存后委托环卫部门定期 清运</w:t>
                  </w:r>
                </w:p>
              </w:tc>
              <w:tc>
                <w:tcPr>
                  <w:tcW w:w="1465" w:type="dxa"/>
                  <w:vAlign w:val="center"/>
                </w:tcPr>
                <w:p>
                  <w:pPr>
                    <w:jc w:val="center"/>
                    <w:rPr>
                      <w:szCs w:val="21"/>
                    </w:rPr>
                  </w:pPr>
                  <w:r>
                    <w:rPr>
                      <w:rFonts w:hint="eastAsia"/>
                      <w:szCs w:val="21"/>
                    </w:rPr>
                    <w:t>0</w:t>
                  </w:r>
                </w:p>
              </w:tc>
            </w:tr>
          </w:tbl>
          <w:p>
            <w:pPr>
              <w:pStyle w:val="49"/>
              <w:spacing w:before="120" w:beforeLines="50"/>
              <w:ind w:firstLine="480"/>
              <w:rPr>
                <w:rFonts w:ascii="宋体" w:hAnsi="宋体"/>
                <w:bCs/>
                <w:szCs w:val="21"/>
              </w:rPr>
            </w:pPr>
            <w:r>
              <w:rPr>
                <w:rFonts w:hint="eastAsia" w:ascii="宋体" w:hAnsi="宋体"/>
                <w:bCs/>
                <w:szCs w:val="21"/>
              </w:rPr>
              <w:t>建设项目固体废物均可得到有效处置和利用，不会对周围环境产生 明显影响。</w:t>
            </w:r>
          </w:p>
          <w:p>
            <w:pPr>
              <w:pStyle w:val="49"/>
              <w:ind w:firstLine="482"/>
              <w:rPr>
                <w:rFonts w:ascii="宋体" w:hAnsi="宋体"/>
                <w:b/>
                <w:szCs w:val="21"/>
              </w:rPr>
            </w:pPr>
            <w:r>
              <w:rPr>
                <w:rFonts w:hint="eastAsia" w:ascii="宋体" w:hAnsi="宋体"/>
                <w:b/>
                <w:szCs w:val="21"/>
              </w:rPr>
              <w:t>六、总量情况</w:t>
            </w:r>
          </w:p>
          <w:p>
            <w:pPr>
              <w:spacing w:line="360" w:lineRule="auto"/>
              <w:ind w:firstLine="560"/>
              <w:rPr>
                <w:sz w:val="24"/>
              </w:rPr>
            </w:pPr>
            <w:r>
              <w:rPr>
                <w:sz w:val="24"/>
              </w:rPr>
              <w:t>根据已建项目环境影响评价报告</w:t>
            </w:r>
            <w:r>
              <w:rPr>
                <w:rFonts w:hint="eastAsia"/>
                <w:sz w:val="24"/>
              </w:rPr>
              <w:t>表</w:t>
            </w:r>
            <w:r>
              <w:rPr>
                <w:sz w:val="24"/>
              </w:rPr>
              <w:t>批复，已建项目污染物总量控制情况见</w:t>
            </w:r>
            <w:r>
              <w:rPr>
                <w:rFonts w:hint="eastAsia"/>
                <w:sz w:val="24"/>
              </w:rPr>
              <w:t>下表</w:t>
            </w:r>
            <w:r>
              <w:rPr>
                <w:sz w:val="24"/>
              </w:rPr>
              <w:t>。</w:t>
            </w:r>
          </w:p>
          <w:p>
            <w:pPr>
              <w:pStyle w:val="49"/>
              <w:ind w:firstLine="482"/>
              <w:jc w:val="center"/>
              <w:rPr>
                <w:b/>
                <w:szCs w:val="21"/>
              </w:rPr>
            </w:pPr>
            <w:r>
              <w:rPr>
                <w:b/>
                <w:szCs w:val="21"/>
              </w:rPr>
              <w:t>表2</w:t>
            </w:r>
            <w:r>
              <w:rPr>
                <w:rFonts w:hint="eastAsia"/>
                <w:b/>
                <w:szCs w:val="21"/>
              </w:rPr>
              <w:t>-15</w:t>
            </w:r>
            <w:r>
              <w:rPr>
                <w:b/>
                <w:szCs w:val="21"/>
              </w:rPr>
              <w:t>已建项目污染物排放总量控制情况</w:t>
            </w:r>
          </w:p>
          <w:tbl>
            <w:tblPr>
              <w:tblStyle w:val="22"/>
              <w:tblW w:w="82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2275"/>
              <w:gridCol w:w="2126"/>
              <w:gridCol w:w="2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0" w:hRule="atLeast"/>
                <w:jc w:val="center"/>
              </w:trPr>
              <w:tc>
                <w:tcPr>
                  <w:tcW w:w="991" w:type="pct"/>
                  <w:vMerge w:val="restart"/>
                  <w:tcBorders>
                    <w:tl2br w:val="nil"/>
                    <w:tr2bl w:val="nil"/>
                  </w:tcBorders>
                  <w:vAlign w:val="center"/>
                </w:tcPr>
                <w:p>
                  <w:pPr>
                    <w:pStyle w:val="68"/>
                    <w:rPr>
                      <w:b/>
                      <w:bCs w:val="0"/>
                      <w:color w:val="auto"/>
                    </w:rPr>
                  </w:pPr>
                  <w:r>
                    <w:rPr>
                      <w:b/>
                      <w:bCs w:val="0"/>
                      <w:color w:val="auto"/>
                    </w:rPr>
                    <w:t>种类</w:t>
                  </w:r>
                </w:p>
              </w:tc>
              <w:tc>
                <w:tcPr>
                  <w:tcW w:w="1383" w:type="pct"/>
                  <w:vMerge w:val="restart"/>
                  <w:tcBorders>
                    <w:tl2br w:val="nil"/>
                    <w:tr2bl w:val="nil"/>
                  </w:tcBorders>
                  <w:vAlign w:val="center"/>
                </w:tcPr>
                <w:p>
                  <w:pPr>
                    <w:pStyle w:val="68"/>
                    <w:rPr>
                      <w:b/>
                      <w:bCs w:val="0"/>
                      <w:color w:val="auto"/>
                    </w:rPr>
                  </w:pPr>
                  <w:r>
                    <w:rPr>
                      <w:b/>
                      <w:bCs w:val="0"/>
                      <w:color w:val="auto"/>
                    </w:rPr>
                    <w:t>污染物名称</w:t>
                  </w:r>
                </w:p>
              </w:tc>
              <w:tc>
                <w:tcPr>
                  <w:tcW w:w="2624" w:type="pct"/>
                  <w:gridSpan w:val="2"/>
                  <w:tcBorders>
                    <w:tl2br w:val="nil"/>
                    <w:tr2bl w:val="nil"/>
                  </w:tcBorders>
                  <w:vAlign w:val="center"/>
                </w:tcPr>
                <w:p>
                  <w:pPr>
                    <w:pStyle w:val="68"/>
                    <w:rPr>
                      <w:b/>
                      <w:bCs w:val="0"/>
                      <w:color w:val="auto"/>
                    </w:rPr>
                  </w:pPr>
                  <w:r>
                    <w:rPr>
                      <w:b/>
                      <w:bCs w:val="0"/>
                      <w:color w:val="auto"/>
                    </w:rPr>
                    <w:t>批复量（t/a）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91" w:type="pct"/>
                  <w:vMerge w:val="continue"/>
                  <w:tcBorders>
                    <w:tl2br w:val="nil"/>
                    <w:tr2bl w:val="nil"/>
                  </w:tcBorders>
                  <w:vAlign w:val="center"/>
                </w:tcPr>
                <w:p>
                  <w:pPr>
                    <w:pStyle w:val="68"/>
                    <w:rPr>
                      <w:b/>
                      <w:bCs w:val="0"/>
                      <w:color w:val="auto"/>
                    </w:rPr>
                  </w:pPr>
                </w:p>
              </w:tc>
              <w:tc>
                <w:tcPr>
                  <w:tcW w:w="1383" w:type="pct"/>
                  <w:vMerge w:val="continue"/>
                  <w:tcBorders>
                    <w:tl2br w:val="nil"/>
                    <w:tr2bl w:val="nil"/>
                  </w:tcBorders>
                  <w:vAlign w:val="center"/>
                </w:tcPr>
                <w:p>
                  <w:pPr>
                    <w:pStyle w:val="68"/>
                    <w:rPr>
                      <w:b/>
                      <w:bCs w:val="0"/>
                      <w:color w:val="auto"/>
                    </w:rPr>
                  </w:pPr>
                </w:p>
              </w:tc>
              <w:tc>
                <w:tcPr>
                  <w:tcW w:w="1292" w:type="pct"/>
                  <w:tcBorders>
                    <w:tl2br w:val="nil"/>
                    <w:tr2bl w:val="nil"/>
                  </w:tcBorders>
                  <w:vAlign w:val="center"/>
                </w:tcPr>
                <w:p>
                  <w:pPr>
                    <w:pStyle w:val="68"/>
                    <w:rPr>
                      <w:b/>
                      <w:bCs w:val="0"/>
                      <w:color w:val="auto"/>
                    </w:rPr>
                  </w:pPr>
                  <w:r>
                    <w:rPr>
                      <w:rFonts w:hint="eastAsia"/>
                      <w:b/>
                      <w:bCs w:val="0"/>
                      <w:color w:val="auto"/>
                    </w:rPr>
                    <w:t>总量控制</w:t>
                  </w:r>
                </w:p>
              </w:tc>
              <w:tc>
                <w:tcPr>
                  <w:tcW w:w="1332" w:type="pct"/>
                  <w:tcBorders>
                    <w:tl2br w:val="nil"/>
                    <w:tr2bl w:val="nil"/>
                  </w:tcBorders>
                  <w:vAlign w:val="center"/>
                </w:tcPr>
                <w:p>
                  <w:pPr>
                    <w:pStyle w:val="68"/>
                    <w:rPr>
                      <w:b/>
                      <w:bCs w:val="0"/>
                      <w:color w:val="auto"/>
                    </w:rPr>
                  </w:pPr>
                  <w:r>
                    <w:rPr>
                      <w:rFonts w:hint="eastAsia"/>
                      <w:b/>
                      <w:bCs w:val="0"/>
                      <w:color w:val="auto"/>
                      <w:lang w:eastAsia="zh-CN"/>
                    </w:rPr>
                    <w:t>实际</w:t>
                  </w:r>
                  <w:r>
                    <w:rPr>
                      <w:b/>
                      <w:bCs w:val="0"/>
                      <w:color w:val="auto"/>
                    </w:rPr>
                    <w:t>排放量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91" w:type="pct"/>
                  <w:vMerge w:val="restart"/>
                  <w:tcBorders>
                    <w:tl2br w:val="nil"/>
                    <w:tr2bl w:val="nil"/>
                  </w:tcBorders>
                  <w:vAlign w:val="center"/>
                </w:tcPr>
                <w:p>
                  <w:pPr>
                    <w:pStyle w:val="68"/>
                    <w:rPr>
                      <w:color w:val="auto"/>
                    </w:rPr>
                  </w:pPr>
                  <w:r>
                    <w:rPr>
                      <w:color w:val="auto"/>
                    </w:rPr>
                    <w:t>废气</w:t>
                  </w:r>
                </w:p>
              </w:tc>
              <w:tc>
                <w:tcPr>
                  <w:tcW w:w="1383" w:type="pct"/>
                  <w:tcBorders>
                    <w:tl2br w:val="nil"/>
                    <w:tr2bl w:val="nil"/>
                  </w:tcBorders>
                  <w:vAlign w:val="center"/>
                </w:tcPr>
                <w:p>
                  <w:pPr>
                    <w:pStyle w:val="68"/>
                    <w:rPr>
                      <w:color w:val="auto"/>
                    </w:rPr>
                  </w:pPr>
                  <w:r>
                    <w:rPr>
                      <w:color w:val="auto"/>
                    </w:rPr>
                    <w:t>颗粒物</w:t>
                  </w:r>
                </w:p>
              </w:tc>
              <w:tc>
                <w:tcPr>
                  <w:tcW w:w="1292" w:type="pct"/>
                  <w:tcBorders>
                    <w:tl2br w:val="nil"/>
                    <w:tr2bl w:val="nil"/>
                  </w:tcBorders>
                  <w:vAlign w:val="center"/>
                </w:tcPr>
                <w:p>
                  <w:pPr>
                    <w:pStyle w:val="68"/>
                    <w:rPr>
                      <w:color w:val="auto"/>
                    </w:rPr>
                  </w:pPr>
                  <w:r>
                    <w:rPr>
                      <w:rFonts w:hint="eastAsia"/>
                      <w:color w:val="auto"/>
                    </w:rPr>
                    <w:t>0.213</w:t>
                  </w:r>
                </w:p>
              </w:tc>
              <w:tc>
                <w:tcPr>
                  <w:tcW w:w="1332" w:type="pct"/>
                  <w:tcBorders>
                    <w:tl2br w:val="nil"/>
                    <w:tr2bl w:val="nil"/>
                  </w:tcBorders>
                  <w:vAlign w:val="center"/>
                </w:tcPr>
                <w:p>
                  <w:pPr>
                    <w:pStyle w:val="68"/>
                    <w:rPr>
                      <w:color w:val="auto"/>
                    </w:rPr>
                  </w:pPr>
                  <w:r>
                    <w:rPr>
                      <w:rFonts w:hint="eastAsia"/>
                      <w:color w:val="auto"/>
                    </w:rPr>
                    <w:t>排放浓度小于20mg/m</w:t>
                  </w:r>
                  <w:r>
                    <w:rPr>
                      <w:rFonts w:hint="eastAsia"/>
                      <w:color w:val="auto"/>
                      <w:vertAlign w:val="superscript"/>
                    </w:rPr>
                    <w:t>3</w:t>
                  </w:r>
                  <w:r>
                    <w:rPr>
                      <w:rFonts w:hint="eastAsia"/>
                      <w:color w:val="auto"/>
                    </w:rPr>
                    <w:t>，仪器测不出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0" w:hRule="atLeast"/>
                <w:jc w:val="center"/>
              </w:trPr>
              <w:tc>
                <w:tcPr>
                  <w:tcW w:w="991" w:type="pct"/>
                  <w:vMerge w:val="continue"/>
                  <w:tcBorders>
                    <w:tl2br w:val="nil"/>
                    <w:tr2bl w:val="nil"/>
                  </w:tcBorders>
                  <w:vAlign w:val="center"/>
                </w:tcPr>
                <w:p>
                  <w:pPr>
                    <w:pStyle w:val="68"/>
                    <w:rPr>
                      <w:color w:val="auto"/>
                    </w:rPr>
                  </w:pPr>
                </w:p>
              </w:tc>
              <w:tc>
                <w:tcPr>
                  <w:tcW w:w="1383" w:type="pct"/>
                  <w:tcBorders>
                    <w:tl2br w:val="nil"/>
                    <w:tr2bl w:val="nil"/>
                  </w:tcBorders>
                  <w:vAlign w:val="center"/>
                </w:tcPr>
                <w:p>
                  <w:pPr>
                    <w:pStyle w:val="68"/>
                    <w:rPr>
                      <w:color w:val="auto"/>
                    </w:rPr>
                  </w:pPr>
                  <w:r>
                    <w:rPr>
                      <w:color w:val="auto"/>
                    </w:rPr>
                    <w:t>SO</w:t>
                  </w:r>
                  <w:r>
                    <w:rPr>
                      <w:color w:val="auto"/>
                      <w:vertAlign w:val="subscript"/>
                    </w:rPr>
                    <w:t>2</w:t>
                  </w:r>
                </w:p>
              </w:tc>
              <w:tc>
                <w:tcPr>
                  <w:tcW w:w="1292" w:type="pct"/>
                  <w:tcBorders>
                    <w:tl2br w:val="nil"/>
                    <w:tr2bl w:val="nil"/>
                  </w:tcBorders>
                  <w:vAlign w:val="center"/>
                </w:tcPr>
                <w:p>
                  <w:pPr>
                    <w:pStyle w:val="68"/>
                    <w:rPr>
                      <w:color w:val="auto"/>
                    </w:rPr>
                  </w:pPr>
                  <w:r>
                    <w:rPr>
                      <w:rFonts w:hint="eastAsia"/>
                      <w:color w:val="auto"/>
                    </w:rPr>
                    <w:t>0.114</w:t>
                  </w:r>
                </w:p>
              </w:tc>
              <w:tc>
                <w:tcPr>
                  <w:tcW w:w="1332" w:type="pct"/>
                  <w:tcBorders>
                    <w:tl2br w:val="nil"/>
                    <w:tr2bl w:val="nil"/>
                  </w:tcBorders>
                  <w:vAlign w:val="center"/>
                </w:tcPr>
                <w:p>
                  <w:pPr>
                    <w:pStyle w:val="68"/>
                    <w:rPr>
                      <w:color w:val="auto"/>
                    </w:rPr>
                  </w:pPr>
                  <w:r>
                    <w:rPr>
                      <w:rFonts w:hint="eastAsia"/>
                      <w:color w:val="auto"/>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91" w:type="pct"/>
                  <w:vMerge w:val="continue"/>
                  <w:tcBorders>
                    <w:tl2br w:val="nil"/>
                    <w:tr2bl w:val="nil"/>
                  </w:tcBorders>
                  <w:vAlign w:val="center"/>
                </w:tcPr>
                <w:p>
                  <w:pPr>
                    <w:pStyle w:val="68"/>
                    <w:rPr>
                      <w:color w:val="auto"/>
                    </w:rPr>
                  </w:pPr>
                </w:p>
              </w:tc>
              <w:tc>
                <w:tcPr>
                  <w:tcW w:w="1383" w:type="pct"/>
                  <w:tcBorders>
                    <w:tl2br w:val="nil"/>
                    <w:tr2bl w:val="nil"/>
                  </w:tcBorders>
                  <w:vAlign w:val="center"/>
                </w:tcPr>
                <w:p>
                  <w:pPr>
                    <w:pStyle w:val="68"/>
                    <w:rPr>
                      <w:color w:val="auto"/>
                    </w:rPr>
                  </w:pPr>
                  <w:r>
                    <w:rPr>
                      <w:color w:val="auto"/>
                    </w:rPr>
                    <w:t>NO</w:t>
                  </w:r>
                  <w:r>
                    <w:rPr>
                      <w:color w:val="auto"/>
                      <w:vertAlign w:val="subscript"/>
                    </w:rPr>
                    <w:t>X</w:t>
                  </w:r>
                </w:p>
              </w:tc>
              <w:tc>
                <w:tcPr>
                  <w:tcW w:w="1292" w:type="pct"/>
                  <w:tcBorders>
                    <w:tl2br w:val="nil"/>
                    <w:tr2bl w:val="nil"/>
                  </w:tcBorders>
                  <w:vAlign w:val="center"/>
                </w:tcPr>
                <w:p>
                  <w:pPr>
                    <w:pStyle w:val="68"/>
                    <w:rPr>
                      <w:color w:val="auto"/>
                    </w:rPr>
                  </w:pPr>
                  <w:r>
                    <w:rPr>
                      <w:rFonts w:hint="eastAsia"/>
                      <w:color w:val="auto"/>
                    </w:rPr>
                    <w:t>0.903</w:t>
                  </w:r>
                </w:p>
              </w:tc>
              <w:tc>
                <w:tcPr>
                  <w:tcW w:w="1332" w:type="pct"/>
                  <w:tcBorders>
                    <w:tl2br w:val="nil"/>
                    <w:tr2bl w:val="nil"/>
                  </w:tcBorders>
                  <w:vAlign w:val="center"/>
                </w:tcPr>
                <w:p>
                  <w:pPr>
                    <w:pStyle w:val="68"/>
                    <w:rPr>
                      <w:color w:val="auto"/>
                    </w:rPr>
                  </w:pPr>
                  <w:r>
                    <w:rPr>
                      <w:color w:val="auto"/>
                    </w:rPr>
                    <w:t>0.</w:t>
                  </w:r>
                  <w:r>
                    <w:rPr>
                      <w:rFonts w:hint="eastAsia"/>
                      <w:color w:val="auto"/>
                    </w:rPr>
                    <w:t>781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0" w:hRule="atLeast"/>
                <w:jc w:val="center"/>
              </w:trPr>
              <w:tc>
                <w:tcPr>
                  <w:tcW w:w="991" w:type="pct"/>
                  <w:vMerge w:val="restart"/>
                  <w:tcBorders>
                    <w:tl2br w:val="nil"/>
                    <w:tr2bl w:val="nil"/>
                  </w:tcBorders>
                  <w:vAlign w:val="center"/>
                </w:tcPr>
                <w:p>
                  <w:pPr>
                    <w:pStyle w:val="68"/>
                    <w:rPr>
                      <w:color w:val="auto"/>
                    </w:rPr>
                  </w:pPr>
                  <w:r>
                    <w:rPr>
                      <w:color w:val="auto"/>
                    </w:rPr>
                    <w:t>废水</w:t>
                  </w:r>
                </w:p>
              </w:tc>
              <w:tc>
                <w:tcPr>
                  <w:tcW w:w="1383" w:type="pct"/>
                  <w:tcBorders>
                    <w:tl2br w:val="nil"/>
                    <w:tr2bl w:val="nil"/>
                  </w:tcBorders>
                  <w:vAlign w:val="center"/>
                </w:tcPr>
                <w:p>
                  <w:pPr>
                    <w:pStyle w:val="68"/>
                    <w:rPr>
                      <w:color w:val="auto"/>
                    </w:rPr>
                  </w:pPr>
                  <w:r>
                    <w:rPr>
                      <w:color w:val="auto"/>
                    </w:rPr>
                    <w:t>废水量（m</w:t>
                  </w:r>
                  <w:r>
                    <w:rPr>
                      <w:color w:val="auto"/>
                      <w:vertAlign w:val="superscript"/>
                    </w:rPr>
                    <w:t>3</w:t>
                  </w:r>
                  <w:r>
                    <w:rPr>
                      <w:color w:val="auto"/>
                    </w:rPr>
                    <w:t>/a）</w:t>
                  </w:r>
                </w:p>
              </w:tc>
              <w:tc>
                <w:tcPr>
                  <w:tcW w:w="1292" w:type="pct"/>
                  <w:tcBorders>
                    <w:tl2br w:val="nil"/>
                    <w:tr2bl w:val="nil"/>
                  </w:tcBorders>
                  <w:vAlign w:val="center"/>
                </w:tcPr>
                <w:p>
                  <w:pPr>
                    <w:pStyle w:val="68"/>
                    <w:rPr>
                      <w:color w:val="auto"/>
                    </w:rPr>
                  </w:pPr>
                  <w:r>
                    <w:rPr>
                      <w:rFonts w:hint="eastAsia"/>
                      <w:color w:val="auto"/>
                    </w:rPr>
                    <w:t>3740</w:t>
                  </w:r>
                </w:p>
              </w:tc>
              <w:tc>
                <w:tcPr>
                  <w:tcW w:w="1332" w:type="pct"/>
                  <w:tcBorders>
                    <w:tl2br w:val="nil"/>
                    <w:tr2bl w:val="nil"/>
                  </w:tcBorders>
                  <w:vAlign w:val="center"/>
                </w:tcPr>
                <w:p>
                  <w:pPr>
                    <w:pStyle w:val="68"/>
                    <w:rPr>
                      <w:color w:val="auto"/>
                    </w:rPr>
                  </w:pPr>
                  <w:r>
                    <w:rPr>
                      <w:rFonts w:hint="eastAsia"/>
                      <w:color w:val="auto"/>
                    </w:rPr>
                    <w:t>3740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0" w:hRule="atLeast"/>
                <w:jc w:val="center"/>
              </w:trPr>
              <w:tc>
                <w:tcPr>
                  <w:tcW w:w="991" w:type="pct"/>
                  <w:vMerge w:val="continue"/>
                  <w:tcBorders>
                    <w:tl2br w:val="nil"/>
                    <w:tr2bl w:val="nil"/>
                  </w:tcBorders>
                  <w:vAlign w:val="center"/>
                </w:tcPr>
                <w:p>
                  <w:pPr>
                    <w:pStyle w:val="68"/>
                    <w:rPr>
                      <w:color w:val="auto"/>
                    </w:rPr>
                  </w:pPr>
                </w:p>
              </w:tc>
              <w:tc>
                <w:tcPr>
                  <w:tcW w:w="1383" w:type="pct"/>
                  <w:tcBorders>
                    <w:tl2br w:val="nil"/>
                    <w:tr2bl w:val="nil"/>
                  </w:tcBorders>
                  <w:vAlign w:val="center"/>
                </w:tcPr>
                <w:p>
                  <w:pPr>
                    <w:pStyle w:val="68"/>
                    <w:rPr>
                      <w:color w:val="auto"/>
                    </w:rPr>
                  </w:pPr>
                  <w:r>
                    <w:rPr>
                      <w:color w:val="auto"/>
                    </w:rPr>
                    <w:t>COD</w:t>
                  </w:r>
                </w:p>
              </w:tc>
              <w:tc>
                <w:tcPr>
                  <w:tcW w:w="1292" w:type="pct"/>
                  <w:tcBorders>
                    <w:tl2br w:val="nil"/>
                    <w:tr2bl w:val="nil"/>
                  </w:tcBorders>
                  <w:vAlign w:val="center"/>
                </w:tcPr>
                <w:p>
                  <w:pPr>
                    <w:pStyle w:val="68"/>
                    <w:rPr>
                      <w:color w:val="auto"/>
                    </w:rPr>
                  </w:pPr>
                  <w:r>
                    <w:rPr>
                      <w:rFonts w:hint="eastAsia"/>
                      <w:color w:val="auto"/>
                    </w:rPr>
                    <w:t>0.382</w:t>
                  </w:r>
                </w:p>
              </w:tc>
              <w:tc>
                <w:tcPr>
                  <w:tcW w:w="1332" w:type="pct"/>
                  <w:tcBorders>
                    <w:tl2br w:val="nil"/>
                    <w:tr2bl w:val="nil"/>
                  </w:tcBorders>
                  <w:vAlign w:val="center"/>
                </w:tcPr>
                <w:p>
                  <w:pPr>
                    <w:pStyle w:val="68"/>
                    <w:rPr>
                      <w:color w:val="auto"/>
                    </w:rPr>
                  </w:pPr>
                  <w:r>
                    <w:rPr>
                      <w:rFonts w:hint="eastAsia"/>
                      <w:color w:val="auto"/>
                    </w:rPr>
                    <w:t>0.242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0" w:hRule="atLeast"/>
                <w:jc w:val="center"/>
              </w:trPr>
              <w:tc>
                <w:tcPr>
                  <w:tcW w:w="991" w:type="pct"/>
                  <w:vMerge w:val="continue"/>
                  <w:tcBorders>
                    <w:tl2br w:val="nil"/>
                    <w:tr2bl w:val="nil"/>
                  </w:tcBorders>
                  <w:vAlign w:val="center"/>
                </w:tcPr>
                <w:p>
                  <w:pPr>
                    <w:pStyle w:val="68"/>
                    <w:rPr>
                      <w:color w:val="auto"/>
                    </w:rPr>
                  </w:pPr>
                </w:p>
              </w:tc>
              <w:tc>
                <w:tcPr>
                  <w:tcW w:w="1383" w:type="pct"/>
                  <w:tcBorders>
                    <w:tl2br w:val="nil"/>
                    <w:tr2bl w:val="nil"/>
                  </w:tcBorders>
                  <w:vAlign w:val="center"/>
                </w:tcPr>
                <w:p>
                  <w:pPr>
                    <w:pStyle w:val="68"/>
                    <w:rPr>
                      <w:color w:val="auto"/>
                    </w:rPr>
                  </w:pPr>
                  <w:r>
                    <w:rPr>
                      <w:color w:val="auto"/>
                    </w:rPr>
                    <w:t>氨氮</w:t>
                  </w:r>
                </w:p>
              </w:tc>
              <w:tc>
                <w:tcPr>
                  <w:tcW w:w="1292" w:type="pct"/>
                  <w:tcBorders>
                    <w:tl2br w:val="nil"/>
                    <w:tr2bl w:val="nil"/>
                  </w:tcBorders>
                  <w:vAlign w:val="center"/>
                </w:tcPr>
                <w:p>
                  <w:pPr>
                    <w:pStyle w:val="68"/>
                    <w:rPr>
                      <w:color w:val="auto"/>
                    </w:rPr>
                  </w:pPr>
                  <w:r>
                    <w:rPr>
                      <w:rFonts w:hint="eastAsia"/>
                      <w:color w:val="auto"/>
                    </w:rPr>
                    <w:t>0.0153</w:t>
                  </w:r>
                </w:p>
              </w:tc>
              <w:tc>
                <w:tcPr>
                  <w:tcW w:w="1332" w:type="pct"/>
                  <w:tcBorders>
                    <w:tl2br w:val="nil"/>
                    <w:tr2bl w:val="nil"/>
                  </w:tcBorders>
                  <w:vAlign w:val="center"/>
                </w:tcPr>
                <w:p>
                  <w:pPr>
                    <w:pStyle w:val="68"/>
                    <w:rPr>
                      <w:color w:val="auto"/>
                    </w:rPr>
                  </w:pPr>
                  <w:r>
                    <w:rPr>
                      <w:rFonts w:hint="eastAsia"/>
                      <w:color w:val="auto"/>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91" w:type="pct"/>
                  <w:tcBorders>
                    <w:tl2br w:val="nil"/>
                    <w:tr2bl w:val="nil"/>
                  </w:tcBorders>
                  <w:vAlign w:val="center"/>
                </w:tcPr>
                <w:p>
                  <w:pPr>
                    <w:pStyle w:val="68"/>
                    <w:rPr>
                      <w:color w:val="auto"/>
                    </w:rPr>
                  </w:pPr>
                  <w:r>
                    <w:rPr>
                      <w:color w:val="auto"/>
                    </w:rPr>
                    <w:t>固体废物</w:t>
                  </w:r>
                </w:p>
              </w:tc>
              <w:tc>
                <w:tcPr>
                  <w:tcW w:w="1383" w:type="pct"/>
                  <w:tcBorders>
                    <w:tl2br w:val="nil"/>
                    <w:tr2bl w:val="nil"/>
                  </w:tcBorders>
                  <w:vAlign w:val="center"/>
                </w:tcPr>
                <w:p>
                  <w:pPr>
                    <w:pStyle w:val="68"/>
                    <w:rPr>
                      <w:color w:val="auto"/>
                    </w:rPr>
                  </w:pPr>
                  <w:r>
                    <w:rPr>
                      <w:color w:val="auto"/>
                    </w:rPr>
                    <w:t>/</w:t>
                  </w:r>
                </w:p>
              </w:tc>
              <w:tc>
                <w:tcPr>
                  <w:tcW w:w="2624" w:type="pct"/>
                  <w:gridSpan w:val="2"/>
                  <w:tcBorders>
                    <w:tl2br w:val="nil"/>
                    <w:tr2bl w:val="nil"/>
                  </w:tcBorders>
                  <w:vAlign w:val="center"/>
                </w:tcPr>
                <w:p>
                  <w:pPr>
                    <w:pStyle w:val="68"/>
                    <w:rPr>
                      <w:color w:val="auto"/>
                    </w:rPr>
                  </w:pPr>
                  <w:r>
                    <w:rPr>
                      <w:color w:val="auto"/>
                    </w:rPr>
                    <w:t>/</w:t>
                  </w:r>
                </w:p>
              </w:tc>
            </w:tr>
          </w:tbl>
          <w:p>
            <w:pPr>
              <w:pStyle w:val="49"/>
              <w:keepNext w:val="0"/>
              <w:keepLines w:val="0"/>
              <w:pageBreakBefore w:val="0"/>
              <w:widowControl w:val="0"/>
              <w:kinsoku/>
              <w:wordWrap/>
              <w:overflowPunct/>
              <w:topLinePunct w:val="0"/>
              <w:autoSpaceDE/>
              <w:autoSpaceDN/>
              <w:bidi w:val="0"/>
              <w:adjustRightInd/>
              <w:snapToGrid/>
              <w:spacing w:before="157" w:beforeLines="50"/>
              <w:ind w:firstLine="480"/>
              <w:textAlignment w:val="auto"/>
              <w:rPr>
                <w:rFonts w:hint="default" w:ascii="Times New Roman" w:hAnsi="Times New Roman" w:eastAsia="宋体" w:cs="Times New Roman"/>
                <w:bCs/>
                <w:szCs w:val="21"/>
                <w:lang w:val="en-US" w:eastAsia="zh-CN"/>
              </w:rPr>
            </w:pPr>
            <w:r>
              <w:rPr>
                <w:rFonts w:hint="default" w:ascii="Times New Roman" w:hAnsi="Times New Roman" w:cs="Times New Roman"/>
                <w:bCs/>
                <w:szCs w:val="21"/>
                <w:lang w:eastAsia="zh-CN"/>
              </w:rPr>
              <w:t>已建项目于</w:t>
            </w:r>
            <w:r>
              <w:rPr>
                <w:rFonts w:hint="default" w:ascii="Times New Roman" w:hAnsi="Times New Roman" w:cs="Times New Roman"/>
                <w:bCs/>
                <w:szCs w:val="21"/>
                <w:lang w:val="en-US" w:eastAsia="zh-CN"/>
              </w:rPr>
              <w:t>2020年3月31日取得滁州市生态环境局颁发的排污许可证（编号：91341100MA2NU644X3002U）</w:t>
            </w:r>
          </w:p>
          <w:p>
            <w:pPr>
              <w:pStyle w:val="49"/>
              <w:ind w:firstLine="420"/>
              <w:rPr>
                <w:rFonts w:ascii="宋体" w:hAnsi="宋体"/>
                <w:bCs/>
                <w:szCs w:val="21"/>
              </w:rPr>
            </w:pPr>
          </w:p>
          <w:p>
            <w:pPr>
              <w:pStyle w:val="49"/>
              <w:ind w:firstLine="480"/>
              <w:rPr>
                <w:rFonts w:ascii="宋体" w:hAnsi="宋体"/>
                <w:bCs/>
                <w:szCs w:val="21"/>
              </w:rPr>
            </w:pPr>
          </w:p>
          <w:p>
            <w:pPr>
              <w:pStyle w:val="49"/>
              <w:ind w:firstLine="480"/>
              <w:rPr>
                <w:rFonts w:ascii="宋体" w:hAnsi="宋体"/>
                <w:bCs/>
                <w:szCs w:val="21"/>
              </w:rPr>
            </w:pPr>
          </w:p>
          <w:p>
            <w:pPr>
              <w:pStyle w:val="49"/>
              <w:ind w:firstLine="480"/>
              <w:rPr>
                <w:rFonts w:ascii="宋体" w:hAnsi="宋体"/>
                <w:bCs/>
                <w:szCs w:val="21"/>
              </w:rPr>
            </w:pPr>
          </w:p>
        </w:tc>
      </w:tr>
    </w:tbl>
    <w:p>
      <w:pPr>
        <w:pStyle w:val="19"/>
        <w:jc w:val="center"/>
        <w:rPr>
          <w:rFonts w:ascii="黑体" w:hAnsi="黑体" w:eastAsia="黑体"/>
          <w:snapToGrid w:val="0"/>
          <w:sz w:val="36"/>
          <w:szCs w:val="36"/>
        </w:rPr>
        <w:sectPr>
          <w:pgSz w:w="11906" w:h="16838"/>
          <w:pgMar w:top="1701" w:right="1531" w:bottom="1701" w:left="1531" w:header="851" w:footer="851" w:gutter="0"/>
          <w:cols w:space="720" w:num="1"/>
          <w:docGrid w:linePitch="312" w:charSpace="0"/>
        </w:sectPr>
      </w:pPr>
    </w:p>
    <w:p>
      <w:pPr>
        <w:pStyle w:val="19"/>
        <w:adjustRightInd w:val="0"/>
        <w:snapToGrid w:val="0"/>
        <w:spacing w:before="0" w:beforeAutospacing="0" w:after="0" w:afterAutospacing="0" w:line="14" w:lineRule="auto"/>
        <w:jc w:val="center"/>
        <w:outlineLvl w:val="0"/>
        <w:rPr>
          <w:rFonts w:ascii="黑体" w:hAnsi="黑体" w:eastAsia="黑体"/>
          <w:snapToGrid w:val="0"/>
          <w:sz w:val="30"/>
          <w:szCs w:val="30"/>
        </w:rPr>
      </w:pPr>
    </w:p>
    <w:p>
      <w:pPr>
        <w:pStyle w:val="19"/>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0"/>
        <w:gridCol w:w="85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2" w:hRule="atLeast"/>
          <w:jc w:val="center"/>
        </w:trPr>
        <w:tc>
          <w:tcPr>
            <w:tcW w:w="490" w:type="dxa"/>
            <w:vAlign w:val="center"/>
          </w:tcPr>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区</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域</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环</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境</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质</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量</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现</w:t>
            </w:r>
          </w:p>
          <w:p>
            <w:pPr>
              <w:adjustRightInd w:val="0"/>
              <w:snapToGrid w:val="0"/>
              <w:spacing w:line="480" w:lineRule="auto"/>
              <w:jc w:val="center"/>
              <w:rPr>
                <w:rFonts w:ascii="宋体" w:hAnsi="宋体" w:cs="宋体"/>
                <w:kern w:val="0"/>
                <w:szCs w:val="21"/>
              </w:rPr>
            </w:pPr>
            <w:r>
              <w:rPr>
                <w:rFonts w:hint="eastAsia" w:ascii="宋体" w:hAnsi="宋体" w:cs="宋体"/>
                <w:kern w:val="0"/>
                <w:sz w:val="28"/>
                <w:szCs w:val="28"/>
              </w:rPr>
              <w:t>状</w:t>
            </w:r>
          </w:p>
        </w:tc>
        <w:tc>
          <w:tcPr>
            <w:tcW w:w="8500" w:type="dxa"/>
            <w:vAlign w:val="center"/>
          </w:tcPr>
          <w:p>
            <w:pPr>
              <w:pStyle w:val="11"/>
              <w:spacing w:after="0" w:line="360" w:lineRule="auto"/>
              <w:ind w:left="0" w:leftChars="0" w:firstLine="482" w:firstLineChars="200"/>
              <w:jc w:val="left"/>
              <w:rPr>
                <w:b/>
              </w:rPr>
            </w:pPr>
            <w:r>
              <w:rPr>
                <w:rFonts w:hint="eastAsia"/>
                <w:b/>
              </w:rPr>
              <w:t>1、</w:t>
            </w:r>
            <w:r>
              <w:rPr>
                <w:b/>
              </w:rPr>
              <w:t>环境空气质量</w:t>
            </w:r>
            <w:r>
              <w:rPr>
                <w:rFonts w:hint="eastAsia"/>
                <w:b/>
              </w:rPr>
              <w:t>现状</w:t>
            </w:r>
          </w:p>
          <w:p>
            <w:pPr>
              <w:pStyle w:val="11"/>
              <w:spacing w:after="0" w:line="360" w:lineRule="auto"/>
              <w:ind w:left="0" w:leftChars="0" w:firstLine="480" w:firstLineChars="200"/>
              <w:jc w:val="left"/>
              <w:rPr>
                <w:b/>
              </w:rPr>
            </w:pPr>
            <w:r>
              <w:rPr>
                <w:rFonts w:hint="eastAsia"/>
                <w:bCs/>
              </w:rPr>
              <w:t>①环境质量达标区判定</w:t>
            </w:r>
          </w:p>
          <w:p>
            <w:pPr>
              <w:spacing w:line="360" w:lineRule="auto"/>
              <w:ind w:firstLine="472" w:firstLineChars="200"/>
              <w:rPr>
                <w:spacing w:val="-2"/>
                <w:kern w:val="28"/>
                <w:sz w:val="24"/>
              </w:rPr>
            </w:pPr>
            <w:r>
              <w:rPr>
                <w:spacing w:val="-2"/>
                <w:kern w:val="28"/>
                <w:sz w:val="24"/>
              </w:rPr>
              <w:t>根据《2019年滁州市环境状况公报》，2019年滁州市区环境空气SO</w:t>
            </w:r>
            <w:r>
              <w:rPr>
                <w:spacing w:val="-2"/>
                <w:kern w:val="28"/>
                <w:sz w:val="24"/>
                <w:vertAlign w:val="subscript"/>
              </w:rPr>
              <w:t>2</w:t>
            </w:r>
            <w:r>
              <w:rPr>
                <w:spacing w:val="-2"/>
                <w:kern w:val="28"/>
                <w:sz w:val="24"/>
              </w:rPr>
              <w:t>年均浓度为10</w:t>
            </w:r>
            <w:r>
              <w:rPr>
                <w:szCs w:val="21"/>
              </w:rPr>
              <w:t>μ</w:t>
            </w:r>
            <w:r>
              <w:rPr>
                <w:spacing w:val="-2"/>
                <w:kern w:val="28"/>
                <w:sz w:val="24"/>
              </w:rPr>
              <w:t>g/m</w:t>
            </w:r>
            <w:r>
              <w:rPr>
                <w:spacing w:val="-2"/>
                <w:kern w:val="28"/>
                <w:sz w:val="24"/>
                <w:vertAlign w:val="superscript"/>
              </w:rPr>
              <w:t>3</w:t>
            </w:r>
            <w:r>
              <w:rPr>
                <w:spacing w:val="-2"/>
                <w:kern w:val="28"/>
                <w:sz w:val="24"/>
              </w:rPr>
              <w:t>、NO</w:t>
            </w:r>
            <w:r>
              <w:rPr>
                <w:spacing w:val="-2"/>
                <w:kern w:val="28"/>
                <w:sz w:val="24"/>
                <w:vertAlign w:val="subscript"/>
              </w:rPr>
              <w:t>2</w:t>
            </w:r>
            <w:r>
              <w:rPr>
                <w:spacing w:val="-2"/>
                <w:kern w:val="28"/>
                <w:sz w:val="24"/>
              </w:rPr>
              <w:t>年均浓度为35</w:t>
            </w:r>
            <w:r>
              <w:rPr>
                <w:szCs w:val="21"/>
              </w:rPr>
              <w:t>μ</w:t>
            </w:r>
            <w:r>
              <w:rPr>
                <w:spacing w:val="-2"/>
                <w:kern w:val="28"/>
                <w:sz w:val="24"/>
              </w:rPr>
              <w:t>g/m</w:t>
            </w:r>
            <w:r>
              <w:rPr>
                <w:spacing w:val="-2"/>
                <w:kern w:val="28"/>
                <w:sz w:val="24"/>
                <w:vertAlign w:val="superscript"/>
              </w:rPr>
              <w:t>3</w:t>
            </w:r>
            <w:r>
              <w:rPr>
                <w:spacing w:val="-2"/>
                <w:kern w:val="28"/>
                <w:sz w:val="24"/>
              </w:rPr>
              <w:t>、PM</w:t>
            </w:r>
            <w:r>
              <w:rPr>
                <w:spacing w:val="-2"/>
                <w:kern w:val="28"/>
                <w:sz w:val="24"/>
                <w:vertAlign w:val="subscript"/>
              </w:rPr>
              <w:t>10</w:t>
            </w:r>
            <w:r>
              <w:rPr>
                <w:spacing w:val="-2"/>
                <w:kern w:val="28"/>
                <w:sz w:val="24"/>
              </w:rPr>
              <w:t>年均浓度为72</w:t>
            </w:r>
            <w:r>
              <w:rPr>
                <w:szCs w:val="21"/>
              </w:rPr>
              <w:t>μ</w:t>
            </w:r>
            <w:r>
              <w:rPr>
                <w:spacing w:val="-2"/>
                <w:kern w:val="28"/>
                <w:sz w:val="24"/>
              </w:rPr>
              <w:t>g/m</w:t>
            </w:r>
            <w:r>
              <w:rPr>
                <w:spacing w:val="-2"/>
                <w:kern w:val="28"/>
                <w:sz w:val="24"/>
                <w:vertAlign w:val="superscript"/>
              </w:rPr>
              <w:t>3</w:t>
            </w:r>
            <w:r>
              <w:rPr>
                <w:spacing w:val="-2"/>
                <w:kern w:val="28"/>
                <w:sz w:val="24"/>
              </w:rPr>
              <w:t>、PM</w:t>
            </w:r>
            <w:r>
              <w:rPr>
                <w:spacing w:val="-2"/>
                <w:kern w:val="28"/>
                <w:sz w:val="24"/>
                <w:vertAlign w:val="subscript"/>
              </w:rPr>
              <w:t>2.5</w:t>
            </w:r>
            <w:r>
              <w:rPr>
                <w:spacing w:val="-2"/>
                <w:kern w:val="28"/>
                <w:sz w:val="24"/>
              </w:rPr>
              <w:t>年均浓度为48</w:t>
            </w:r>
            <w:r>
              <w:rPr>
                <w:szCs w:val="21"/>
              </w:rPr>
              <w:t>μ</w:t>
            </w:r>
            <w:r>
              <w:rPr>
                <w:spacing w:val="-2"/>
                <w:kern w:val="28"/>
                <w:sz w:val="24"/>
              </w:rPr>
              <w:t>g/m</w:t>
            </w:r>
            <w:r>
              <w:rPr>
                <w:spacing w:val="-2"/>
                <w:kern w:val="28"/>
                <w:sz w:val="24"/>
                <w:vertAlign w:val="superscript"/>
              </w:rPr>
              <w:t>3</w:t>
            </w:r>
            <w:r>
              <w:rPr>
                <w:spacing w:val="-2"/>
                <w:kern w:val="28"/>
                <w:sz w:val="24"/>
              </w:rPr>
              <w:t>、CO日平均浓度为0.8mg/m</w:t>
            </w:r>
            <w:r>
              <w:rPr>
                <w:spacing w:val="-2"/>
                <w:kern w:val="28"/>
                <w:sz w:val="24"/>
                <w:vertAlign w:val="superscript"/>
              </w:rPr>
              <w:t>3</w:t>
            </w:r>
            <w:r>
              <w:rPr>
                <w:spacing w:val="-2"/>
                <w:kern w:val="28"/>
                <w:sz w:val="24"/>
              </w:rPr>
              <w:t>、臭氧日最大8小时平均浓度为106</w:t>
            </w:r>
            <w:r>
              <w:rPr>
                <w:szCs w:val="21"/>
              </w:rPr>
              <w:t>μ</w:t>
            </w:r>
            <w:r>
              <w:rPr>
                <w:spacing w:val="-2"/>
                <w:kern w:val="28"/>
                <w:sz w:val="24"/>
              </w:rPr>
              <w:t>g/m</w:t>
            </w:r>
            <w:r>
              <w:rPr>
                <w:spacing w:val="-2"/>
                <w:kern w:val="28"/>
                <w:sz w:val="24"/>
                <w:vertAlign w:val="superscript"/>
              </w:rPr>
              <w:t>3</w:t>
            </w:r>
            <w:r>
              <w:rPr>
                <w:spacing w:val="-2"/>
                <w:kern w:val="28"/>
                <w:sz w:val="24"/>
              </w:rPr>
              <w:t>。</w:t>
            </w:r>
          </w:p>
          <w:p>
            <w:pPr>
              <w:spacing w:line="360" w:lineRule="auto"/>
              <w:ind w:firstLine="474" w:firstLineChars="200"/>
              <w:jc w:val="center"/>
              <w:rPr>
                <w:b/>
                <w:spacing w:val="-2"/>
                <w:kern w:val="28"/>
                <w:sz w:val="24"/>
              </w:rPr>
            </w:pPr>
            <w:r>
              <w:rPr>
                <w:b/>
                <w:spacing w:val="-2"/>
                <w:kern w:val="28"/>
                <w:sz w:val="24"/>
              </w:rPr>
              <w:t>表</w:t>
            </w:r>
            <w:r>
              <w:rPr>
                <w:rFonts w:hint="eastAsia"/>
                <w:b/>
                <w:spacing w:val="-2"/>
                <w:kern w:val="28"/>
                <w:sz w:val="24"/>
              </w:rPr>
              <w:t>3-1</w:t>
            </w:r>
            <w:r>
              <w:rPr>
                <w:b/>
                <w:spacing w:val="-2"/>
                <w:kern w:val="28"/>
                <w:sz w:val="24"/>
              </w:rPr>
              <w:t xml:space="preserve">   2019 年滁州市环境状况</w:t>
            </w:r>
          </w:p>
          <w:tbl>
            <w:tblPr>
              <w:tblStyle w:val="22"/>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975"/>
              <w:gridCol w:w="1322"/>
              <w:gridCol w:w="1323"/>
              <w:gridCol w:w="121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Align w:val="center"/>
                </w:tcPr>
                <w:p>
                  <w:pPr>
                    <w:jc w:val="center"/>
                    <w:rPr>
                      <w:b/>
                      <w:spacing w:val="-2"/>
                      <w:kern w:val="28"/>
                      <w:szCs w:val="21"/>
                    </w:rPr>
                  </w:pPr>
                  <w:r>
                    <w:rPr>
                      <w:b/>
                      <w:spacing w:val="-2"/>
                      <w:kern w:val="28"/>
                      <w:szCs w:val="21"/>
                    </w:rPr>
                    <w:t>污染物</w:t>
                  </w:r>
                </w:p>
              </w:tc>
              <w:tc>
                <w:tcPr>
                  <w:tcW w:w="2126" w:type="dxa"/>
                  <w:vAlign w:val="center"/>
                </w:tcPr>
                <w:p>
                  <w:pPr>
                    <w:jc w:val="center"/>
                    <w:rPr>
                      <w:b/>
                      <w:spacing w:val="-2"/>
                      <w:kern w:val="28"/>
                      <w:szCs w:val="21"/>
                    </w:rPr>
                  </w:pPr>
                  <w:r>
                    <w:rPr>
                      <w:b/>
                      <w:spacing w:val="-2"/>
                      <w:kern w:val="28"/>
                      <w:szCs w:val="21"/>
                    </w:rPr>
                    <w:t>年评价指标</w:t>
                  </w:r>
                </w:p>
              </w:tc>
              <w:tc>
                <w:tcPr>
                  <w:tcW w:w="1417" w:type="dxa"/>
                  <w:vAlign w:val="center"/>
                </w:tcPr>
                <w:p>
                  <w:pPr>
                    <w:jc w:val="center"/>
                    <w:rPr>
                      <w:b/>
                      <w:spacing w:val="-2"/>
                      <w:kern w:val="28"/>
                      <w:szCs w:val="21"/>
                    </w:rPr>
                  </w:pPr>
                  <w:r>
                    <w:rPr>
                      <w:b/>
                      <w:spacing w:val="-2"/>
                      <w:kern w:val="28"/>
                      <w:szCs w:val="21"/>
                    </w:rPr>
                    <w:t>标准值（</w:t>
                  </w:r>
                  <w:r>
                    <w:rPr>
                      <w:b/>
                      <w:bCs/>
                      <w:szCs w:val="21"/>
                    </w:rPr>
                    <w:t>μ</w:t>
                  </w:r>
                  <w:r>
                    <w:rPr>
                      <w:b/>
                      <w:bCs/>
                      <w:spacing w:val="-2"/>
                      <w:kern w:val="28"/>
                      <w:sz w:val="24"/>
                    </w:rPr>
                    <w:t>g</w:t>
                  </w:r>
                  <w:r>
                    <w:rPr>
                      <w:b/>
                      <w:spacing w:val="-2"/>
                      <w:kern w:val="28"/>
                      <w:szCs w:val="21"/>
                    </w:rPr>
                    <w:t>/m</w:t>
                  </w:r>
                  <w:r>
                    <w:rPr>
                      <w:b/>
                      <w:spacing w:val="-2"/>
                      <w:kern w:val="28"/>
                      <w:szCs w:val="21"/>
                      <w:vertAlign w:val="superscript"/>
                    </w:rPr>
                    <w:t>3</w:t>
                  </w:r>
                  <w:r>
                    <w:rPr>
                      <w:b/>
                      <w:spacing w:val="-2"/>
                      <w:kern w:val="28"/>
                      <w:szCs w:val="21"/>
                    </w:rPr>
                    <w:t>）</w:t>
                  </w:r>
                </w:p>
              </w:tc>
              <w:tc>
                <w:tcPr>
                  <w:tcW w:w="1418" w:type="dxa"/>
                  <w:vAlign w:val="center"/>
                </w:tcPr>
                <w:p>
                  <w:pPr>
                    <w:jc w:val="center"/>
                    <w:rPr>
                      <w:b/>
                      <w:spacing w:val="-2"/>
                      <w:kern w:val="28"/>
                      <w:szCs w:val="21"/>
                    </w:rPr>
                  </w:pPr>
                  <w:r>
                    <w:rPr>
                      <w:b/>
                      <w:spacing w:val="-2"/>
                      <w:kern w:val="28"/>
                      <w:szCs w:val="21"/>
                    </w:rPr>
                    <w:t>现状浓度（</w:t>
                  </w:r>
                  <w:r>
                    <w:rPr>
                      <w:b/>
                      <w:bCs/>
                      <w:szCs w:val="21"/>
                    </w:rPr>
                    <w:t>μ</w:t>
                  </w:r>
                  <w:r>
                    <w:rPr>
                      <w:b/>
                      <w:bCs/>
                      <w:spacing w:val="-2"/>
                      <w:kern w:val="28"/>
                      <w:sz w:val="24"/>
                    </w:rPr>
                    <w:t>g</w:t>
                  </w:r>
                  <w:r>
                    <w:rPr>
                      <w:b/>
                      <w:spacing w:val="-2"/>
                      <w:kern w:val="28"/>
                      <w:szCs w:val="21"/>
                    </w:rPr>
                    <w:t>/m</w:t>
                  </w:r>
                  <w:r>
                    <w:rPr>
                      <w:b/>
                      <w:spacing w:val="-2"/>
                      <w:kern w:val="28"/>
                      <w:szCs w:val="21"/>
                      <w:vertAlign w:val="superscript"/>
                    </w:rPr>
                    <w:t>3</w:t>
                  </w:r>
                  <w:r>
                    <w:rPr>
                      <w:b/>
                      <w:spacing w:val="-2"/>
                      <w:kern w:val="28"/>
                      <w:szCs w:val="21"/>
                    </w:rPr>
                    <w:t>）</w:t>
                  </w:r>
                </w:p>
              </w:tc>
              <w:tc>
                <w:tcPr>
                  <w:tcW w:w="1298" w:type="dxa"/>
                  <w:vAlign w:val="center"/>
                </w:tcPr>
                <w:p>
                  <w:pPr>
                    <w:jc w:val="center"/>
                    <w:rPr>
                      <w:b/>
                      <w:spacing w:val="-2"/>
                      <w:kern w:val="28"/>
                      <w:szCs w:val="21"/>
                    </w:rPr>
                  </w:pPr>
                  <w:r>
                    <w:rPr>
                      <w:b/>
                      <w:spacing w:val="-2"/>
                      <w:kern w:val="28"/>
                      <w:szCs w:val="21"/>
                    </w:rPr>
                    <w:t>超标倍数</w:t>
                  </w:r>
                </w:p>
              </w:tc>
              <w:tc>
                <w:tcPr>
                  <w:tcW w:w="1298" w:type="dxa"/>
                  <w:vAlign w:val="center"/>
                </w:tcPr>
                <w:p>
                  <w:pPr>
                    <w:jc w:val="center"/>
                    <w:rPr>
                      <w:b/>
                      <w:spacing w:val="-2"/>
                      <w:kern w:val="28"/>
                      <w:szCs w:val="21"/>
                    </w:rPr>
                  </w:pPr>
                  <w:r>
                    <w:rPr>
                      <w:b/>
                      <w:spacing w:val="-2"/>
                      <w:kern w:val="28"/>
                      <w:szCs w:val="21"/>
                    </w:rPr>
                    <w:t>达标情况</w:t>
                  </w:r>
                </w:p>
              </w:tc>
            </w:tr>
            <w:tr>
              <w:tblPrEx>
                <w:tblCellMar>
                  <w:top w:w="0" w:type="dxa"/>
                  <w:left w:w="108" w:type="dxa"/>
                  <w:bottom w:w="0" w:type="dxa"/>
                  <w:right w:w="108" w:type="dxa"/>
                </w:tblCellMar>
              </w:tblPrEx>
              <w:trPr>
                <w:trHeight w:val="340" w:hRule="atLeast"/>
                <w:jc w:val="center"/>
              </w:trPr>
              <w:tc>
                <w:tcPr>
                  <w:tcW w:w="948" w:type="dxa"/>
                  <w:vAlign w:val="center"/>
                </w:tcPr>
                <w:p>
                  <w:pPr>
                    <w:jc w:val="center"/>
                    <w:rPr>
                      <w:spacing w:val="-2"/>
                      <w:kern w:val="28"/>
                      <w:szCs w:val="21"/>
                    </w:rPr>
                  </w:pPr>
                  <w:r>
                    <w:rPr>
                      <w:spacing w:val="-2"/>
                      <w:kern w:val="28"/>
                      <w:szCs w:val="21"/>
                    </w:rPr>
                    <w:t>SO</w:t>
                  </w:r>
                  <w:r>
                    <w:rPr>
                      <w:spacing w:val="-2"/>
                      <w:kern w:val="28"/>
                      <w:szCs w:val="21"/>
                      <w:vertAlign w:val="subscript"/>
                    </w:rPr>
                    <w:t>2</w:t>
                  </w:r>
                </w:p>
              </w:tc>
              <w:tc>
                <w:tcPr>
                  <w:tcW w:w="2126" w:type="dxa"/>
                  <w:vAlign w:val="center"/>
                </w:tcPr>
                <w:p>
                  <w:pPr>
                    <w:jc w:val="center"/>
                    <w:rPr>
                      <w:spacing w:val="-2"/>
                      <w:kern w:val="28"/>
                      <w:szCs w:val="21"/>
                    </w:rPr>
                  </w:pPr>
                  <w:r>
                    <w:rPr>
                      <w:spacing w:val="-2"/>
                      <w:kern w:val="28"/>
                      <w:szCs w:val="21"/>
                    </w:rPr>
                    <w:t>年均值</w:t>
                  </w:r>
                </w:p>
              </w:tc>
              <w:tc>
                <w:tcPr>
                  <w:tcW w:w="1417" w:type="dxa"/>
                  <w:vAlign w:val="center"/>
                </w:tcPr>
                <w:p>
                  <w:pPr>
                    <w:jc w:val="center"/>
                    <w:rPr>
                      <w:spacing w:val="-2"/>
                      <w:kern w:val="28"/>
                      <w:szCs w:val="21"/>
                    </w:rPr>
                  </w:pPr>
                  <w:r>
                    <w:rPr>
                      <w:spacing w:val="-2"/>
                      <w:kern w:val="28"/>
                      <w:szCs w:val="21"/>
                    </w:rPr>
                    <w:t>20</w:t>
                  </w:r>
                </w:p>
              </w:tc>
              <w:tc>
                <w:tcPr>
                  <w:tcW w:w="1418" w:type="dxa"/>
                  <w:vAlign w:val="center"/>
                </w:tcPr>
                <w:p>
                  <w:pPr>
                    <w:jc w:val="center"/>
                    <w:rPr>
                      <w:spacing w:val="-2"/>
                      <w:kern w:val="28"/>
                      <w:szCs w:val="21"/>
                    </w:rPr>
                  </w:pPr>
                  <w:r>
                    <w:rPr>
                      <w:spacing w:val="-2"/>
                      <w:kern w:val="28"/>
                      <w:szCs w:val="21"/>
                    </w:rPr>
                    <w:t>10</w:t>
                  </w:r>
                </w:p>
              </w:tc>
              <w:tc>
                <w:tcPr>
                  <w:tcW w:w="1298" w:type="dxa"/>
                  <w:vAlign w:val="center"/>
                </w:tcPr>
                <w:p>
                  <w:pPr>
                    <w:jc w:val="center"/>
                    <w:rPr>
                      <w:spacing w:val="-2"/>
                      <w:kern w:val="28"/>
                      <w:szCs w:val="21"/>
                    </w:rPr>
                  </w:pPr>
                  <w:r>
                    <w:rPr>
                      <w:spacing w:val="-2"/>
                      <w:kern w:val="28"/>
                      <w:szCs w:val="21"/>
                    </w:rPr>
                    <w:t>/</w:t>
                  </w:r>
                </w:p>
              </w:tc>
              <w:tc>
                <w:tcPr>
                  <w:tcW w:w="1298" w:type="dxa"/>
                  <w:vAlign w:val="center"/>
                </w:tcPr>
                <w:p>
                  <w:pPr>
                    <w:jc w:val="center"/>
                    <w:rPr>
                      <w:spacing w:val="-2"/>
                      <w:kern w:val="28"/>
                      <w:szCs w:val="21"/>
                    </w:rPr>
                  </w:pPr>
                  <w:r>
                    <w:rPr>
                      <w:spacing w:val="-2"/>
                      <w:kern w:val="28"/>
                      <w:szCs w:val="21"/>
                    </w:rPr>
                    <w:t>达标</w:t>
                  </w:r>
                </w:p>
              </w:tc>
            </w:tr>
            <w:tr>
              <w:tblPrEx>
                <w:tblCellMar>
                  <w:top w:w="0" w:type="dxa"/>
                  <w:left w:w="108" w:type="dxa"/>
                  <w:bottom w:w="0" w:type="dxa"/>
                  <w:right w:w="108" w:type="dxa"/>
                </w:tblCellMar>
              </w:tblPrEx>
              <w:trPr>
                <w:trHeight w:val="340" w:hRule="atLeast"/>
                <w:jc w:val="center"/>
              </w:trPr>
              <w:tc>
                <w:tcPr>
                  <w:tcW w:w="948" w:type="dxa"/>
                  <w:vAlign w:val="center"/>
                </w:tcPr>
                <w:p>
                  <w:pPr>
                    <w:jc w:val="center"/>
                    <w:rPr>
                      <w:spacing w:val="-2"/>
                      <w:kern w:val="28"/>
                      <w:szCs w:val="21"/>
                    </w:rPr>
                  </w:pPr>
                  <w:r>
                    <w:rPr>
                      <w:spacing w:val="-2"/>
                      <w:kern w:val="28"/>
                      <w:szCs w:val="21"/>
                    </w:rPr>
                    <w:t>NO</w:t>
                  </w:r>
                  <w:r>
                    <w:rPr>
                      <w:spacing w:val="-2"/>
                      <w:kern w:val="28"/>
                      <w:szCs w:val="21"/>
                      <w:vertAlign w:val="subscript"/>
                    </w:rPr>
                    <w:t>2</w:t>
                  </w:r>
                </w:p>
              </w:tc>
              <w:tc>
                <w:tcPr>
                  <w:tcW w:w="2126" w:type="dxa"/>
                </w:tcPr>
                <w:p>
                  <w:pPr>
                    <w:jc w:val="center"/>
                    <w:rPr>
                      <w:szCs w:val="21"/>
                    </w:rPr>
                  </w:pPr>
                  <w:r>
                    <w:rPr>
                      <w:spacing w:val="-2"/>
                      <w:kern w:val="28"/>
                      <w:szCs w:val="21"/>
                    </w:rPr>
                    <w:t>年均值</w:t>
                  </w:r>
                </w:p>
              </w:tc>
              <w:tc>
                <w:tcPr>
                  <w:tcW w:w="1417" w:type="dxa"/>
                  <w:vAlign w:val="center"/>
                </w:tcPr>
                <w:p>
                  <w:pPr>
                    <w:jc w:val="center"/>
                    <w:rPr>
                      <w:spacing w:val="-2"/>
                      <w:kern w:val="28"/>
                      <w:szCs w:val="21"/>
                    </w:rPr>
                  </w:pPr>
                  <w:r>
                    <w:rPr>
                      <w:spacing w:val="-2"/>
                      <w:kern w:val="28"/>
                      <w:szCs w:val="21"/>
                    </w:rPr>
                    <w:t>40</w:t>
                  </w:r>
                </w:p>
              </w:tc>
              <w:tc>
                <w:tcPr>
                  <w:tcW w:w="1418" w:type="dxa"/>
                  <w:vAlign w:val="center"/>
                </w:tcPr>
                <w:p>
                  <w:pPr>
                    <w:jc w:val="center"/>
                    <w:rPr>
                      <w:spacing w:val="-2"/>
                      <w:kern w:val="28"/>
                      <w:szCs w:val="21"/>
                    </w:rPr>
                  </w:pPr>
                  <w:r>
                    <w:rPr>
                      <w:spacing w:val="-2"/>
                      <w:kern w:val="28"/>
                      <w:szCs w:val="21"/>
                    </w:rPr>
                    <w:t>35</w:t>
                  </w:r>
                </w:p>
              </w:tc>
              <w:tc>
                <w:tcPr>
                  <w:tcW w:w="1298" w:type="dxa"/>
                  <w:vAlign w:val="center"/>
                </w:tcPr>
                <w:p>
                  <w:pPr>
                    <w:jc w:val="center"/>
                    <w:rPr>
                      <w:spacing w:val="-2"/>
                      <w:kern w:val="28"/>
                      <w:szCs w:val="21"/>
                    </w:rPr>
                  </w:pPr>
                  <w:r>
                    <w:rPr>
                      <w:spacing w:val="-2"/>
                      <w:kern w:val="28"/>
                      <w:szCs w:val="21"/>
                    </w:rPr>
                    <w:t>/</w:t>
                  </w:r>
                </w:p>
              </w:tc>
              <w:tc>
                <w:tcPr>
                  <w:tcW w:w="1298" w:type="dxa"/>
                  <w:vAlign w:val="center"/>
                </w:tcPr>
                <w:p>
                  <w:pPr>
                    <w:jc w:val="center"/>
                    <w:rPr>
                      <w:szCs w:val="21"/>
                    </w:rPr>
                  </w:pPr>
                  <w:r>
                    <w:rPr>
                      <w:spacing w:val="-2"/>
                      <w:kern w:val="28"/>
                      <w:szCs w:val="21"/>
                    </w:rPr>
                    <w:t>达标</w:t>
                  </w:r>
                </w:p>
              </w:tc>
            </w:tr>
            <w:tr>
              <w:tblPrEx>
                <w:tblCellMar>
                  <w:top w:w="0" w:type="dxa"/>
                  <w:left w:w="108" w:type="dxa"/>
                  <w:bottom w:w="0" w:type="dxa"/>
                  <w:right w:w="108" w:type="dxa"/>
                </w:tblCellMar>
              </w:tblPrEx>
              <w:trPr>
                <w:trHeight w:val="340" w:hRule="atLeast"/>
                <w:jc w:val="center"/>
              </w:trPr>
              <w:tc>
                <w:tcPr>
                  <w:tcW w:w="948" w:type="dxa"/>
                  <w:vAlign w:val="center"/>
                </w:tcPr>
                <w:p>
                  <w:pPr>
                    <w:jc w:val="center"/>
                    <w:rPr>
                      <w:spacing w:val="-2"/>
                      <w:kern w:val="28"/>
                      <w:szCs w:val="21"/>
                    </w:rPr>
                  </w:pPr>
                  <w:r>
                    <w:rPr>
                      <w:spacing w:val="-2"/>
                      <w:kern w:val="28"/>
                      <w:szCs w:val="21"/>
                    </w:rPr>
                    <w:t>PM</w:t>
                  </w:r>
                  <w:r>
                    <w:rPr>
                      <w:spacing w:val="-2"/>
                      <w:kern w:val="28"/>
                      <w:szCs w:val="21"/>
                      <w:vertAlign w:val="subscript"/>
                    </w:rPr>
                    <w:t>10</w:t>
                  </w:r>
                </w:p>
              </w:tc>
              <w:tc>
                <w:tcPr>
                  <w:tcW w:w="2126" w:type="dxa"/>
                </w:tcPr>
                <w:p>
                  <w:pPr>
                    <w:jc w:val="center"/>
                    <w:rPr>
                      <w:szCs w:val="21"/>
                    </w:rPr>
                  </w:pPr>
                  <w:r>
                    <w:rPr>
                      <w:spacing w:val="-2"/>
                      <w:kern w:val="28"/>
                      <w:szCs w:val="21"/>
                    </w:rPr>
                    <w:t>年均值</w:t>
                  </w:r>
                </w:p>
              </w:tc>
              <w:tc>
                <w:tcPr>
                  <w:tcW w:w="1417" w:type="dxa"/>
                  <w:vAlign w:val="center"/>
                </w:tcPr>
                <w:p>
                  <w:pPr>
                    <w:jc w:val="center"/>
                    <w:rPr>
                      <w:spacing w:val="-2"/>
                      <w:kern w:val="28"/>
                      <w:szCs w:val="21"/>
                    </w:rPr>
                  </w:pPr>
                  <w:r>
                    <w:rPr>
                      <w:spacing w:val="-2"/>
                      <w:kern w:val="28"/>
                      <w:szCs w:val="21"/>
                    </w:rPr>
                    <w:t>70</w:t>
                  </w:r>
                </w:p>
              </w:tc>
              <w:tc>
                <w:tcPr>
                  <w:tcW w:w="1418" w:type="dxa"/>
                  <w:vAlign w:val="center"/>
                </w:tcPr>
                <w:p>
                  <w:pPr>
                    <w:jc w:val="center"/>
                    <w:rPr>
                      <w:spacing w:val="-2"/>
                      <w:kern w:val="28"/>
                      <w:szCs w:val="21"/>
                    </w:rPr>
                  </w:pPr>
                  <w:r>
                    <w:rPr>
                      <w:spacing w:val="-2"/>
                      <w:kern w:val="28"/>
                      <w:szCs w:val="21"/>
                    </w:rPr>
                    <w:t>72</w:t>
                  </w:r>
                </w:p>
              </w:tc>
              <w:tc>
                <w:tcPr>
                  <w:tcW w:w="1298" w:type="dxa"/>
                  <w:vAlign w:val="center"/>
                </w:tcPr>
                <w:p>
                  <w:pPr>
                    <w:jc w:val="center"/>
                    <w:rPr>
                      <w:spacing w:val="-2"/>
                      <w:kern w:val="28"/>
                      <w:szCs w:val="21"/>
                    </w:rPr>
                  </w:pPr>
                  <w:r>
                    <w:rPr>
                      <w:spacing w:val="-2"/>
                      <w:kern w:val="28"/>
                      <w:szCs w:val="21"/>
                    </w:rPr>
                    <w:t>0.03</w:t>
                  </w:r>
                </w:p>
              </w:tc>
              <w:tc>
                <w:tcPr>
                  <w:tcW w:w="1298" w:type="dxa"/>
                  <w:vAlign w:val="center"/>
                </w:tcPr>
                <w:p>
                  <w:pPr>
                    <w:jc w:val="center"/>
                    <w:rPr>
                      <w:szCs w:val="21"/>
                    </w:rPr>
                  </w:pPr>
                  <w:r>
                    <w:rPr>
                      <w:spacing w:val="-2"/>
                      <w:kern w:val="28"/>
                      <w:szCs w:val="21"/>
                    </w:rPr>
                    <w:t>不达标</w:t>
                  </w:r>
                </w:p>
              </w:tc>
            </w:tr>
            <w:tr>
              <w:tblPrEx>
                <w:tblCellMar>
                  <w:top w:w="0" w:type="dxa"/>
                  <w:left w:w="108" w:type="dxa"/>
                  <w:bottom w:w="0" w:type="dxa"/>
                  <w:right w:w="108" w:type="dxa"/>
                </w:tblCellMar>
              </w:tblPrEx>
              <w:trPr>
                <w:trHeight w:val="340" w:hRule="atLeast"/>
                <w:jc w:val="center"/>
              </w:trPr>
              <w:tc>
                <w:tcPr>
                  <w:tcW w:w="948" w:type="dxa"/>
                  <w:vAlign w:val="center"/>
                </w:tcPr>
                <w:p>
                  <w:pPr>
                    <w:jc w:val="center"/>
                    <w:rPr>
                      <w:spacing w:val="-2"/>
                      <w:kern w:val="28"/>
                      <w:szCs w:val="21"/>
                    </w:rPr>
                  </w:pPr>
                  <w:r>
                    <w:rPr>
                      <w:spacing w:val="-2"/>
                      <w:kern w:val="28"/>
                      <w:szCs w:val="21"/>
                    </w:rPr>
                    <w:t>PM</w:t>
                  </w:r>
                  <w:r>
                    <w:rPr>
                      <w:spacing w:val="-2"/>
                      <w:kern w:val="28"/>
                      <w:szCs w:val="21"/>
                      <w:vertAlign w:val="subscript"/>
                    </w:rPr>
                    <w:t>2.5</w:t>
                  </w:r>
                </w:p>
              </w:tc>
              <w:tc>
                <w:tcPr>
                  <w:tcW w:w="2126" w:type="dxa"/>
                </w:tcPr>
                <w:p>
                  <w:pPr>
                    <w:jc w:val="center"/>
                    <w:rPr>
                      <w:szCs w:val="21"/>
                    </w:rPr>
                  </w:pPr>
                  <w:r>
                    <w:rPr>
                      <w:spacing w:val="-2"/>
                      <w:kern w:val="28"/>
                      <w:szCs w:val="21"/>
                    </w:rPr>
                    <w:t>年均值</w:t>
                  </w:r>
                </w:p>
              </w:tc>
              <w:tc>
                <w:tcPr>
                  <w:tcW w:w="1417" w:type="dxa"/>
                  <w:vAlign w:val="center"/>
                </w:tcPr>
                <w:p>
                  <w:pPr>
                    <w:jc w:val="center"/>
                    <w:rPr>
                      <w:spacing w:val="-2"/>
                      <w:kern w:val="28"/>
                      <w:szCs w:val="21"/>
                    </w:rPr>
                  </w:pPr>
                  <w:r>
                    <w:rPr>
                      <w:spacing w:val="-2"/>
                      <w:kern w:val="28"/>
                      <w:szCs w:val="21"/>
                    </w:rPr>
                    <w:t>35</w:t>
                  </w:r>
                </w:p>
              </w:tc>
              <w:tc>
                <w:tcPr>
                  <w:tcW w:w="1418" w:type="dxa"/>
                  <w:vAlign w:val="center"/>
                </w:tcPr>
                <w:p>
                  <w:pPr>
                    <w:jc w:val="center"/>
                    <w:rPr>
                      <w:spacing w:val="-2"/>
                      <w:kern w:val="28"/>
                      <w:szCs w:val="21"/>
                    </w:rPr>
                  </w:pPr>
                  <w:r>
                    <w:rPr>
                      <w:spacing w:val="-2"/>
                      <w:kern w:val="28"/>
                      <w:szCs w:val="21"/>
                    </w:rPr>
                    <w:t>48</w:t>
                  </w:r>
                </w:p>
              </w:tc>
              <w:tc>
                <w:tcPr>
                  <w:tcW w:w="1298" w:type="dxa"/>
                  <w:vAlign w:val="center"/>
                </w:tcPr>
                <w:p>
                  <w:pPr>
                    <w:jc w:val="center"/>
                    <w:rPr>
                      <w:spacing w:val="-2"/>
                      <w:kern w:val="28"/>
                      <w:szCs w:val="21"/>
                    </w:rPr>
                  </w:pPr>
                  <w:r>
                    <w:rPr>
                      <w:spacing w:val="-2"/>
                      <w:kern w:val="28"/>
                      <w:szCs w:val="21"/>
                    </w:rPr>
                    <w:t>0.37</w:t>
                  </w:r>
                </w:p>
              </w:tc>
              <w:tc>
                <w:tcPr>
                  <w:tcW w:w="1298" w:type="dxa"/>
                  <w:vAlign w:val="center"/>
                </w:tcPr>
                <w:p>
                  <w:pPr>
                    <w:jc w:val="center"/>
                    <w:rPr>
                      <w:szCs w:val="21"/>
                    </w:rPr>
                  </w:pPr>
                  <w:r>
                    <w:rPr>
                      <w:spacing w:val="-2"/>
                      <w:kern w:val="28"/>
                      <w:szCs w:val="21"/>
                    </w:rPr>
                    <w:t>不达标</w:t>
                  </w:r>
                </w:p>
              </w:tc>
            </w:tr>
            <w:tr>
              <w:tblPrEx>
                <w:tblCellMar>
                  <w:top w:w="0" w:type="dxa"/>
                  <w:left w:w="108" w:type="dxa"/>
                  <w:bottom w:w="0" w:type="dxa"/>
                  <w:right w:w="108" w:type="dxa"/>
                </w:tblCellMar>
              </w:tblPrEx>
              <w:trPr>
                <w:trHeight w:val="340" w:hRule="atLeast"/>
                <w:jc w:val="center"/>
              </w:trPr>
              <w:tc>
                <w:tcPr>
                  <w:tcW w:w="948" w:type="dxa"/>
                  <w:vAlign w:val="center"/>
                </w:tcPr>
                <w:p>
                  <w:pPr>
                    <w:jc w:val="center"/>
                    <w:rPr>
                      <w:spacing w:val="-2"/>
                      <w:kern w:val="28"/>
                      <w:szCs w:val="21"/>
                    </w:rPr>
                  </w:pPr>
                  <w:r>
                    <w:rPr>
                      <w:spacing w:val="-2"/>
                      <w:kern w:val="28"/>
                      <w:szCs w:val="21"/>
                    </w:rPr>
                    <w:t>CO</w:t>
                  </w:r>
                </w:p>
              </w:tc>
              <w:tc>
                <w:tcPr>
                  <w:tcW w:w="2126" w:type="dxa"/>
                  <w:vAlign w:val="center"/>
                </w:tcPr>
                <w:p>
                  <w:pPr>
                    <w:jc w:val="center"/>
                    <w:rPr>
                      <w:spacing w:val="-2"/>
                      <w:kern w:val="28"/>
                      <w:szCs w:val="21"/>
                    </w:rPr>
                  </w:pPr>
                  <w:r>
                    <w:rPr>
                      <w:spacing w:val="-2"/>
                      <w:kern w:val="28"/>
                      <w:szCs w:val="21"/>
                    </w:rPr>
                    <w:t>日平均</w:t>
                  </w:r>
                </w:p>
              </w:tc>
              <w:tc>
                <w:tcPr>
                  <w:tcW w:w="1417" w:type="dxa"/>
                  <w:vAlign w:val="center"/>
                </w:tcPr>
                <w:p>
                  <w:pPr>
                    <w:jc w:val="center"/>
                    <w:rPr>
                      <w:spacing w:val="-2"/>
                      <w:kern w:val="28"/>
                      <w:szCs w:val="21"/>
                    </w:rPr>
                  </w:pPr>
                  <w:r>
                    <w:rPr>
                      <w:spacing w:val="-2"/>
                      <w:kern w:val="28"/>
                      <w:szCs w:val="21"/>
                    </w:rPr>
                    <w:t>4000</w:t>
                  </w:r>
                </w:p>
              </w:tc>
              <w:tc>
                <w:tcPr>
                  <w:tcW w:w="1418" w:type="dxa"/>
                  <w:vAlign w:val="center"/>
                </w:tcPr>
                <w:p>
                  <w:pPr>
                    <w:jc w:val="center"/>
                    <w:rPr>
                      <w:spacing w:val="-2"/>
                      <w:kern w:val="28"/>
                      <w:szCs w:val="21"/>
                    </w:rPr>
                  </w:pPr>
                  <w:r>
                    <w:rPr>
                      <w:spacing w:val="-2"/>
                      <w:kern w:val="28"/>
                      <w:szCs w:val="21"/>
                    </w:rPr>
                    <w:t>800</w:t>
                  </w:r>
                </w:p>
              </w:tc>
              <w:tc>
                <w:tcPr>
                  <w:tcW w:w="1298" w:type="dxa"/>
                  <w:vAlign w:val="center"/>
                </w:tcPr>
                <w:p>
                  <w:pPr>
                    <w:jc w:val="center"/>
                    <w:rPr>
                      <w:spacing w:val="-2"/>
                      <w:kern w:val="28"/>
                      <w:szCs w:val="21"/>
                    </w:rPr>
                  </w:pPr>
                  <w:r>
                    <w:rPr>
                      <w:spacing w:val="-2"/>
                      <w:kern w:val="28"/>
                      <w:szCs w:val="21"/>
                    </w:rPr>
                    <w:t>/</w:t>
                  </w:r>
                </w:p>
              </w:tc>
              <w:tc>
                <w:tcPr>
                  <w:tcW w:w="1298" w:type="dxa"/>
                  <w:vAlign w:val="center"/>
                </w:tcPr>
                <w:p>
                  <w:pPr>
                    <w:jc w:val="center"/>
                    <w:rPr>
                      <w:szCs w:val="21"/>
                    </w:rPr>
                  </w:pPr>
                  <w:r>
                    <w:rPr>
                      <w:spacing w:val="-2"/>
                      <w:kern w:val="28"/>
                      <w:szCs w:val="21"/>
                    </w:rPr>
                    <w:t>达标</w:t>
                  </w:r>
                </w:p>
              </w:tc>
            </w:tr>
            <w:tr>
              <w:tblPrEx>
                <w:tblCellMar>
                  <w:top w:w="0" w:type="dxa"/>
                  <w:left w:w="108" w:type="dxa"/>
                  <w:bottom w:w="0" w:type="dxa"/>
                  <w:right w:w="108" w:type="dxa"/>
                </w:tblCellMar>
              </w:tblPrEx>
              <w:trPr>
                <w:trHeight w:val="340" w:hRule="atLeast"/>
                <w:jc w:val="center"/>
              </w:trPr>
              <w:tc>
                <w:tcPr>
                  <w:tcW w:w="948" w:type="dxa"/>
                  <w:vAlign w:val="center"/>
                </w:tcPr>
                <w:p>
                  <w:pPr>
                    <w:jc w:val="center"/>
                    <w:rPr>
                      <w:spacing w:val="-2"/>
                      <w:kern w:val="28"/>
                      <w:szCs w:val="21"/>
                    </w:rPr>
                  </w:pPr>
                  <w:r>
                    <w:rPr>
                      <w:spacing w:val="-2"/>
                      <w:kern w:val="28"/>
                      <w:szCs w:val="21"/>
                    </w:rPr>
                    <w:t>O</w:t>
                  </w:r>
                  <w:r>
                    <w:rPr>
                      <w:spacing w:val="-2"/>
                      <w:kern w:val="28"/>
                      <w:szCs w:val="21"/>
                      <w:vertAlign w:val="subscript"/>
                    </w:rPr>
                    <w:t>3</w:t>
                  </w:r>
                </w:p>
              </w:tc>
              <w:tc>
                <w:tcPr>
                  <w:tcW w:w="2126" w:type="dxa"/>
                  <w:vAlign w:val="center"/>
                </w:tcPr>
                <w:p>
                  <w:pPr>
                    <w:jc w:val="center"/>
                    <w:rPr>
                      <w:spacing w:val="-2"/>
                      <w:kern w:val="28"/>
                      <w:szCs w:val="21"/>
                    </w:rPr>
                  </w:pPr>
                  <w:r>
                    <w:rPr>
                      <w:spacing w:val="-2"/>
                      <w:kern w:val="28"/>
                      <w:szCs w:val="21"/>
                    </w:rPr>
                    <w:t>日最大8小时平均</w:t>
                  </w:r>
                </w:p>
              </w:tc>
              <w:tc>
                <w:tcPr>
                  <w:tcW w:w="1417" w:type="dxa"/>
                  <w:vAlign w:val="center"/>
                </w:tcPr>
                <w:p>
                  <w:pPr>
                    <w:jc w:val="center"/>
                    <w:rPr>
                      <w:spacing w:val="-2"/>
                      <w:kern w:val="28"/>
                      <w:szCs w:val="21"/>
                    </w:rPr>
                  </w:pPr>
                  <w:r>
                    <w:rPr>
                      <w:spacing w:val="-2"/>
                      <w:kern w:val="28"/>
                      <w:szCs w:val="21"/>
                    </w:rPr>
                    <w:t>160</w:t>
                  </w:r>
                </w:p>
              </w:tc>
              <w:tc>
                <w:tcPr>
                  <w:tcW w:w="1418" w:type="dxa"/>
                  <w:vAlign w:val="center"/>
                </w:tcPr>
                <w:p>
                  <w:pPr>
                    <w:jc w:val="center"/>
                    <w:rPr>
                      <w:spacing w:val="-2"/>
                      <w:kern w:val="28"/>
                      <w:szCs w:val="21"/>
                    </w:rPr>
                  </w:pPr>
                  <w:r>
                    <w:rPr>
                      <w:spacing w:val="-2"/>
                      <w:kern w:val="28"/>
                      <w:szCs w:val="21"/>
                    </w:rPr>
                    <w:t>106</w:t>
                  </w:r>
                </w:p>
              </w:tc>
              <w:tc>
                <w:tcPr>
                  <w:tcW w:w="1298" w:type="dxa"/>
                  <w:vAlign w:val="center"/>
                </w:tcPr>
                <w:p>
                  <w:pPr>
                    <w:jc w:val="center"/>
                    <w:rPr>
                      <w:spacing w:val="-2"/>
                      <w:kern w:val="28"/>
                      <w:szCs w:val="21"/>
                    </w:rPr>
                  </w:pPr>
                  <w:r>
                    <w:rPr>
                      <w:spacing w:val="-2"/>
                      <w:kern w:val="28"/>
                      <w:szCs w:val="21"/>
                    </w:rPr>
                    <w:t>/</w:t>
                  </w:r>
                </w:p>
              </w:tc>
              <w:tc>
                <w:tcPr>
                  <w:tcW w:w="1298" w:type="dxa"/>
                  <w:vAlign w:val="center"/>
                </w:tcPr>
                <w:p>
                  <w:pPr>
                    <w:jc w:val="center"/>
                    <w:rPr>
                      <w:szCs w:val="21"/>
                    </w:rPr>
                  </w:pPr>
                  <w:r>
                    <w:rPr>
                      <w:spacing w:val="-2"/>
                      <w:kern w:val="28"/>
                      <w:szCs w:val="21"/>
                    </w:rPr>
                    <w:t>达标</w:t>
                  </w:r>
                </w:p>
              </w:tc>
            </w:tr>
          </w:tbl>
          <w:p>
            <w:pPr>
              <w:spacing w:before="120" w:beforeLines="50" w:line="360" w:lineRule="auto"/>
              <w:ind w:firstLine="472" w:firstLineChars="200"/>
              <w:rPr>
                <w:spacing w:val="-2"/>
                <w:kern w:val="28"/>
                <w:sz w:val="24"/>
              </w:rPr>
            </w:pPr>
            <w:r>
              <w:rPr>
                <w:spacing w:val="-2"/>
                <w:kern w:val="28"/>
                <w:sz w:val="24"/>
              </w:rPr>
              <w:t>根据上表可知，项目所在区域PM</w:t>
            </w:r>
            <w:r>
              <w:rPr>
                <w:spacing w:val="-2"/>
                <w:kern w:val="28"/>
                <w:sz w:val="24"/>
                <w:vertAlign w:val="subscript"/>
              </w:rPr>
              <w:t>10</w:t>
            </w:r>
            <w:r>
              <w:rPr>
                <w:spacing w:val="-2"/>
                <w:kern w:val="28"/>
                <w:sz w:val="24"/>
              </w:rPr>
              <w:t>、PM</w:t>
            </w:r>
            <w:r>
              <w:rPr>
                <w:spacing w:val="-2"/>
                <w:kern w:val="28"/>
                <w:sz w:val="24"/>
                <w:vertAlign w:val="subscript"/>
              </w:rPr>
              <w:t>2.5</w:t>
            </w:r>
            <w:r>
              <w:rPr>
                <w:spacing w:val="-2"/>
                <w:kern w:val="28"/>
                <w:sz w:val="24"/>
              </w:rPr>
              <w:t>超标，因此判定为不达标区。根据大气环境质量达标规划，通过进一步控制扬尘污染等措施，大气环境质量状况可以得到进一步改善。</w:t>
            </w:r>
          </w:p>
          <w:p>
            <w:pPr>
              <w:pStyle w:val="11"/>
              <w:spacing w:after="0" w:line="360" w:lineRule="auto"/>
              <w:ind w:left="0" w:leftChars="0" w:firstLine="480" w:firstLineChars="200"/>
              <w:rPr>
                <w:bCs/>
              </w:rPr>
            </w:pPr>
            <w:r>
              <w:t>②其他污染物环境质量现状</w:t>
            </w:r>
          </w:p>
          <w:p>
            <w:pPr>
              <w:spacing w:line="360" w:lineRule="auto"/>
              <w:ind w:firstLine="480" w:firstLineChars="200"/>
              <w:rPr>
                <w:sz w:val="24"/>
              </w:rPr>
            </w:pPr>
            <w:r>
              <w:rPr>
                <w:sz w:val="24"/>
              </w:rPr>
              <w:t>睿琪新能源科技（滁州）有限公司位于本项目</w:t>
            </w:r>
            <w:r>
              <w:rPr>
                <w:rFonts w:hint="eastAsia"/>
                <w:sz w:val="24"/>
              </w:rPr>
              <w:t>东</w:t>
            </w:r>
            <w:r>
              <w:rPr>
                <w:sz w:val="24"/>
              </w:rPr>
              <w:t>侧约</w:t>
            </w:r>
            <w:r>
              <w:rPr>
                <w:rFonts w:hint="eastAsia"/>
                <w:sz w:val="24"/>
              </w:rPr>
              <w:t>1550</w:t>
            </w:r>
            <w:r>
              <w:rPr>
                <w:sz w:val="24"/>
              </w:rPr>
              <w:t>m处，本次评价引用睿琪新能源科技（滁州）有限公司环境现状监测报告（</w:t>
            </w:r>
            <w:r>
              <w:rPr>
                <w:spacing w:val="-2"/>
                <w:kern w:val="28"/>
                <w:sz w:val="24"/>
              </w:rPr>
              <w:t>SYHP191224-03A，</w:t>
            </w:r>
            <w:r>
              <w:rPr>
                <w:sz w:val="24"/>
              </w:rPr>
              <w:t>2019.12.09-12.15）中非甲烷总烃监测数据</w:t>
            </w:r>
            <w:r>
              <w:rPr>
                <w:rFonts w:hint="eastAsia"/>
                <w:sz w:val="24"/>
              </w:rPr>
              <w:t>。</w:t>
            </w:r>
            <w:r>
              <w:rPr>
                <w:sz w:val="24"/>
              </w:rPr>
              <w:t>引用数据的时间及空间均符合相关评价导则要求。</w:t>
            </w:r>
          </w:p>
          <w:p>
            <w:pPr>
              <w:snapToGrid w:val="0"/>
              <w:spacing w:line="360" w:lineRule="auto"/>
              <w:jc w:val="center"/>
              <w:rPr>
                <w:b/>
                <w:sz w:val="24"/>
              </w:rPr>
            </w:pPr>
            <w:r>
              <w:rPr>
                <w:b/>
                <w:sz w:val="24"/>
              </w:rPr>
              <w:t>表3-2  污染物环境质量现状表</w:t>
            </w:r>
          </w:p>
          <w:tbl>
            <w:tblPr>
              <w:tblStyle w:val="22"/>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350"/>
              <w:gridCol w:w="763"/>
              <w:gridCol w:w="1250"/>
              <w:gridCol w:w="1412"/>
              <w:gridCol w:w="875"/>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vMerge w:val="restart"/>
                  <w:vAlign w:val="center"/>
                </w:tcPr>
                <w:p>
                  <w:pPr>
                    <w:jc w:val="center"/>
                    <w:rPr>
                      <w:b/>
                      <w:bCs/>
                    </w:rPr>
                  </w:pPr>
                  <w:r>
                    <w:rPr>
                      <w:b/>
                      <w:bCs/>
                    </w:rPr>
                    <w:t>点位名称</w:t>
                  </w:r>
                </w:p>
              </w:tc>
              <w:tc>
                <w:tcPr>
                  <w:tcW w:w="1350" w:type="dxa"/>
                  <w:vMerge w:val="restart"/>
                  <w:vAlign w:val="center"/>
                </w:tcPr>
                <w:p>
                  <w:pPr>
                    <w:jc w:val="center"/>
                    <w:rPr>
                      <w:b/>
                      <w:bCs/>
                    </w:rPr>
                  </w:pPr>
                  <w:r>
                    <w:rPr>
                      <w:b/>
                      <w:bCs/>
                    </w:rPr>
                    <w:t>污染物</w:t>
                  </w:r>
                </w:p>
              </w:tc>
              <w:tc>
                <w:tcPr>
                  <w:tcW w:w="763" w:type="dxa"/>
                  <w:vMerge w:val="restart"/>
                  <w:vAlign w:val="center"/>
                </w:tcPr>
                <w:p>
                  <w:pPr>
                    <w:jc w:val="center"/>
                    <w:rPr>
                      <w:b/>
                      <w:bCs/>
                    </w:rPr>
                  </w:pPr>
                  <w:r>
                    <w:rPr>
                      <w:b/>
                      <w:bCs/>
                    </w:rPr>
                    <w:t>平均时间</w:t>
                  </w:r>
                </w:p>
              </w:tc>
              <w:tc>
                <w:tcPr>
                  <w:tcW w:w="1250" w:type="dxa"/>
                  <w:vMerge w:val="restart"/>
                  <w:vAlign w:val="center"/>
                </w:tcPr>
                <w:p>
                  <w:pPr>
                    <w:jc w:val="center"/>
                    <w:rPr>
                      <w:b/>
                      <w:bCs/>
                    </w:rPr>
                  </w:pPr>
                  <w:r>
                    <w:rPr>
                      <w:b/>
                      <w:bCs/>
                    </w:rPr>
                    <w:t>评价标准（</w:t>
                  </w:r>
                  <w:r>
                    <w:rPr>
                      <w:b/>
                      <w:bCs/>
                      <w:spacing w:val="-2"/>
                      <w:kern w:val="28"/>
                      <w:szCs w:val="21"/>
                    </w:rPr>
                    <w:t>μg/m</w:t>
                  </w:r>
                  <w:r>
                    <w:rPr>
                      <w:b/>
                      <w:bCs/>
                      <w:spacing w:val="-2"/>
                      <w:kern w:val="28"/>
                      <w:szCs w:val="21"/>
                      <w:vertAlign w:val="superscript"/>
                    </w:rPr>
                    <w:t>3</w:t>
                  </w:r>
                  <w:r>
                    <w:rPr>
                      <w:b/>
                      <w:bCs/>
                    </w:rPr>
                    <w:t>）</w:t>
                  </w:r>
                </w:p>
              </w:tc>
              <w:tc>
                <w:tcPr>
                  <w:tcW w:w="1412" w:type="dxa"/>
                  <w:vMerge w:val="restart"/>
                  <w:vAlign w:val="center"/>
                </w:tcPr>
                <w:p>
                  <w:pPr>
                    <w:jc w:val="center"/>
                    <w:rPr>
                      <w:b/>
                      <w:bCs/>
                    </w:rPr>
                  </w:pPr>
                  <w:r>
                    <w:rPr>
                      <w:b/>
                      <w:bCs/>
                    </w:rPr>
                    <w:t>监测浓度范围（</w:t>
                  </w:r>
                  <w:r>
                    <w:rPr>
                      <w:b/>
                      <w:bCs/>
                      <w:spacing w:val="-2"/>
                      <w:kern w:val="28"/>
                      <w:szCs w:val="21"/>
                    </w:rPr>
                    <w:t>μg/m</w:t>
                  </w:r>
                  <w:r>
                    <w:rPr>
                      <w:b/>
                      <w:bCs/>
                      <w:spacing w:val="-2"/>
                      <w:kern w:val="28"/>
                      <w:szCs w:val="21"/>
                      <w:vertAlign w:val="superscript"/>
                    </w:rPr>
                    <w:t>3</w:t>
                  </w:r>
                  <w:r>
                    <w:rPr>
                      <w:b/>
                      <w:bCs/>
                    </w:rPr>
                    <w:t>）</w:t>
                  </w:r>
                </w:p>
              </w:tc>
              <w:tc>
                <w:tcPr>
                  <w:tcW w:w="875" w:type="dxa"/>
                  <w:vMerge w:val="restart"/>
                  <w:vAlign w:val="center"/>
                </w:tcPr>
                <w:p>
                  <w:pPr>
                    <w:jc w:val="center"/>
                    <w:rPr>
                      <w:b/>
                      <w:bCs/>
                    </w:rPr>
                  </w:pPr>
                  <w:r>
                    <w:rPr>
                      <w:b/>
                      <w:bCs/>
                    </w:rPr>
                    <w:t>超标率%</w:t>
                  </w:r>
                </w:p>
              </w:tc>
              <w:tc>
                <w:tcPr>
                  <w:tcW w:w="923" w:type="dxa"/>
                  <w:vMerge w:val="restart"/>
                  <w:vAlign w:val="center"/>
                </w:tcPr>
                <w:p>
                  <w:pPr>
                    <w:jc w:val="center"/>
                    <w:rPr>
                      <w:b/>
                      <w:bCs/>
                    </w:rPr>
                  </w:pPr>
                  <w:r>
                    <w:rPr>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7" w:type="dxa"/>
                  <w:vMerge w:val="continue"/>
                  <w:vAlign w:val="center"/>
                </w:tcPr>
                <w:p>
                  <w:pPr>
                    <w:jc w:val="center"/>
                  </w:pPr>
                </w:p>
              </w:tc>
              <w:tc>
                <w:tcPr>
                  <w:tcW w:w="1350" w:type="dxa"/>
                  <w:vMerge w:val="continue"/>
                  <w:vAlign w:val="center"/>
                </w:tcPr>
                <w:p>
                  <w:pPr>
                    <w:jc w:val="center"/>
                  </w:pPr>
                </w:p>
              </w:tc>
              <w:tc>
                <w:tcPr>
                  <w:tcW w:w="763" w:type="dxa"/>
                  <w:vMerge w:val="continue"/>
                  <w:vAlign w:val="center"/>
                </w:tcPr>
                <w:p>
                  <w:pPr>
                    <w:jc w:val="center"/>
                  </w:pPr>
                </w:p>
              </w:tc>
              <w:tc>
                <w:tcPr>
                  <w:tcW w:w="1250" w:type="dxa"/>
                  <w:vMerge w:val="continue"/>
                  <w:vAlign w:val="center"/>
                </w:tcPr>
                <w:p>
                  <w:pPr>
                    <w:jc w:val="center"/>
                  </w:pPr>
                </w:p>
              </w:tc>
              <w:tc>
                <w:tcPr>
                  <w:tcW w:w="1412" w:type="dxa"/>
                  <w:vMerge w:val="continue"/>
                  <w:vAlign w:val="center"/>
                </w:tcPr>
                <w:p>
                  <w:pPr>
                    <w:jc w:val="center"/>
                  </w:pPr>
                </w:p>
              </w:tc>
              <w:tc>
                <w:tcPr>
                  <w:tcW w:w="875" w:type="dxa"/>
                  <w:vMerge w:val="continue"/>
                </w:tcPr>
                <w:p>
                  <w:pPr>
                    <w:pStyle w:val="13"/>
                  </w:pPr>
                </w:p>
              </w:tc>
              <w:tc>
                <w:tcPr>
                  <w:tcW w:w="923" w:type="dxa"/>
                  <w:vMerge w:val="continue"/>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47" w:type="dxa"/>
                  <w:vAlign w:val="center"/>
                </w:tcPr>
                <w:p>
                  <w:pPr>
                    <w:jc w:val="center"/>
                  </w:pPr>
                  <w:r>
                    <w:t>睿琪新能源</w:t>
                  </w:r>
                  <w:r>
                    <w:rPr>
                      <w:rFonts w:hint="eastAsia"/>
                    </w:rPr>
                    <w:t>（位于本项目东侧1550m处）</w:t>
                  </w:r>
                </w:p>
              </w:tc>
              <w:tc>
                <w:tcPr>
                  <w:tcW w:w="1350" w:type="dxa"/>
                  <w:vAlign w:val="center"/>
                </w:tcPr>
                <w:p>
                  <w:pPr>
                    <w:jc w:val="center"/>
                  </w:pPr>
                  <w:r>
                    <w:t>非甲烷总烃</w:t>
                  </w:r>
                </w:p>
              </w:tc>
              <w:tc>
                <w:tcPr>
                  <w:tcW w:w="763" w:type="dxa"/>
                  <w:vAlign w:val="center"/>
                </w:tcPr>
                <w:p>
                  <w:pPr>
                    <w:jc w:val="center"/>
                  </w:pPr>
                  <w:r>
                    <w:t>小时浓度</w:t>
                  </w:r>
                </w:p>
              </w:tc>
              <w:tc>
                <w:tcPr>
                  <w:tcW w:w="1250" w:type="dxa"/>
                  <w:vAlign w:val="center"/>
                </w:tcPr>
                <w:p>
                  <w:pPr>
                    <w:jc w:val="center"/>
                  </w:pPr>
                  <w:r>
                    <w:t>2000</w:t>
                  </w:r>
                </w:p>
              </w:tc>
              <w:tc>
                <w:tcPr>
                  <w:tcW w:w="1412" w:type="dxa"/>
                  <w:vAlign w:val="center"/>
                </w:tcPr>
                <w:p>
                  <w:pPr>
                    <w:jc w:val="center"/>
                  </w:pPr>
                  <w:r>
                    <w:t>320~490</w:t>
                  </w:r>
                </w:p>
              </w:tc>
              <w:tc>
                <w:tcPr>
                  <w:tcW w:w="875" w:type="dxa"/>
                  <w:vAlign w:val="center"/>
                </w:tcPr>
                <w:p>
                  <w:pPr>
                    <w:jc w:val="center"/>
                  </w:pPr>
                  <w:r>
                    <w:t>0</w:t>
                  </w:r>
                </w:p>
              </w:tc>
              <w:tc>
                <w:tcPr>
                  <w:tcW w:w="923" w:type="dxa"/>
                  <w:vAlign w:val="center"/>
                </w:tcPr>
                <w:p>
                  <w:pPr>
                    <w:jc w:val="center"/>
                  </w:pPr>
                  <w:r>
                    <w:t>达标</w:t>
                  </w:r>
                </w:p>
              </w:tc>
            </w:tr>
          </w:tbl>
          <w:p>
            <w:pPr>
              <w:pStyle w:val="11"/>
              <w:spacing w:before="120" w:beforeLines="50" w:after="0" w:line="360" w:lineRule="auto"/>
              <w:ind w:left="0" w:leftChars="0" w:firstLine="480" w:firstLineChars="200"/>
              <w:rPr>
                <w:bCs/>
              </w:rPr>
            </w:pPr>
            <w:r>
              <w:t>由上表可知，项目所在区域非甲烷总烃小时浓度值满足《大气污染物综合排放标准详解》中限值标准</w:t>
            </w:r>
            <w:r>
              <w:rPr>
                <w:rFonts w:hint="eastAsia"/>
              </w:rPr>
              <w:t>，</w:t>
            </w:r>
            <w:r>
              <w:t>项目所在地区域大气环境质量总体良好。</w:t>
            </w:r>
          </w:p>
          <w:p>
            <w:pPr>
              <w:pStyle w:val="11"/>
              <w:spacing w:after="0" w:line="360" w:lineRule="auto"/>
              <w:ind w:left="0" w:leftChars="0" w:firstLine="480" w:firstLineChars="200"/>
              <w:rPr>
                <w:b/>
              </w:rPr>
            </w:pPr>
            <w:r>
              <w:rPr>
                <w:rFonts w:hint="eastAsia"/>
                <w:bCs/>
              </w:rPr>
              <w:t>2、</w:t>
            </w:r>
            <w:r>
              <w:rPr>
                <w:b/>
              </w:rPr>
              <w:t>地表水环境质量状况</w:t>
            </w:r>
          </w:p>
          <w:p>
            <w:pPr>
              <w:spacing w:line="360" w:lineRule="auto"/>
              <w:ind w:firstLine="480" w:firstLineChars="200"/>
              <w:rPr>
                <w:sz w:val="24"/>
              </w:rPr>
            </w:pPr>
            <w:r>
              <w:rPr>
                <w:bCs/>
                <w:sz w:val="24"/>
              </w:rPr>
              <w:t>项目排水去向与</w:t>
            </w:r>
            <w:r>
              <w:rPr>
                <w:rFonts w:hint="eastAsia"/>
                <w:bCs/>
                <w:sz w:val="24"/>
              </w:rPr>
              <w:t>苏滁现代产业园规划环境影响跟踪评价报告中</w:t>
            </w:r>
            <w:r>
              <w:rPr>
                <w:bCs/>
                <w:sz w:val="24"/>
              </w:rPr>
              <w:t>排水去向一致，均进入滁州市第二污水处理厂进行处理，</w:t>
            </w:r>
            <w:r>
              <w:rPr>
                <w:sz w:val="24"/>
              </w:rPr>
              <w:t>本次评价引用</w:t>
            </w:r>
            <w:r>
              <w:rPr>
                <w:rFonts w:hint="eastAsia"/>
                <w:sz w:val="24"/>
              </w:rPr>
              <w:t>《</w:t>
            </w:r>
            <w:r>
              <w:rPr>
                <w:rFonts w:hint="eastAsia"/>
                <w:bCs/>
                <w:sz w:val="24"/>
              </w:rPr>
              <w:t>苏滁现代产业园规划环境影响跟踪评价报告书</w:t>
            </w:r>
            <w:r>
              <w:rPr>
                <w:rFonts w:hint="eastAsia"/>
                <w:sz w:val="24"/>
              </w:rPr>
              <w:t>》中地表水环境质量现状监测报告</w:t>
            </w:r>
            <w:r>
              <w:rPr>
                <w:sz w:val="24"/>
              </w:rPr>
              <w:t>（20</w:t>
            </w:r>
            <w:r>
              <w:rPr>
                <w:rFonts w:hint="eastAsia"/>
                <w:sz w:val="24"/>
              </w:rPr>
              <w:t>18.7.2~2018.7.3</w:t>
            </w:r>
            <w:r>
              <w:rPr>
                <w:sz w:val="24"/>
              </w:rPr>
              <w:t>）中地表水环境现状检测数据，引用数据的时间及空间均符合相关评价导则要求。</w:t>
            </w:r>
          </w:p>
          <w:p>
            <w:pPr>
              <w:spacing w:line="360" w:lineRule="auto"/>
              <w:jc w:val="center"/>
              <w:rPr>
                <w:b/>
                <w:sz w:val="24"/>
                <w:szCs w:val="22"/>
              </w:rPr>
            </w:pPr>
            <w:r>
              <w:rPr>
                <w:rFonts w:hint="eastAsia"/>
                <w:b/>
                <w:sz w:val="24"/>
                <w:szCs w:val="22"/>
              </w:rPr>
              <w:t xml:space="preserve">             </w:t>
            </w:r>
            <w:r>
              <w:rPr>
                <w:b/>
                <w:sz w:val="24"/>
                <w:szCs w:val="22"/>
              </w:rPr>
              <w:t>表</w:t>
            </w:r>
            <w:r>
              <w:rPr>
                <w:rFonts w:hint="eastAsia"/>
                <w:b/>
                <w:sz w:val="24"/>
                <w:szCs w:val="22"/>
              </w:rPr>
              <w:t>3-3</w:t>
            </w:r>
            <w:r>
              <w:rPr>
                <w:b/>
                <w:sz w:val="24"/>
                <w:szCs w:val="22"/>
              </w:rPr>
              <w:t xml:space="preserve">  地表水质现状          </w:t>
            </w:r>
            <w:r>
              <w:rPr>
                <w:b/>
                <w:szCs w:val="21"/>
              </w:rPr>
              <w:t xml:space="preserve"> </w:t>
            </w:r>
            <w:r>
              <w:rPr>
                <w:szCs w:val="21"/>
              </w:rPr>
              <w:t>单位：mg/L</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44"/>
              <w:gridCol w:w="1112"/>
              <w:gridCol w:w="1463"/>
              <w:gridCol w:w="875"/>
              <w:gridCol w:w="925"/>
              <w:gridCol w:w="103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b/>
                      <w:kern w:val="2"/>
                      <w:sz w:val="21"/>
                      <w:szCs w:val="21"/>
                    </w:rPr>
                  </w:pPr>
                  <w:r>
                    <w:rPr>
                      <w:rFonts w:ascii="Times New Roman" w:hAnsi="Times New Roman"/>
                      <w:b/>
                      <w:kern w:val="2"/>
                      <w:sz w:val="21"/>
                      <w:szCs w:val="21"/>
                    </w:rPr>
                    <w:t>项目</w:t>
                  </w:r>
                </w:p>
              </w:tc>
              <w:tc>
                <w:tcPr>
                  <w:tcW w:w="1112"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b/>
                      <w:kern w:val="2"/>
                      <w:sz w:val="21"/>
                      <w:szCs w:val="21"/>
                    </w:rPr>
                  </w:pPr>
                  <w:r>
                    <w:rPr>
                      <w:rFonts w:ascii="Times New Roman" w:hAnsi="Times New Roman"/>
                      <w:b/>
                      <w:kern w:val="2"/>
                      <w:sz w:val="21"/>
                      <w:szCs w:val="21"/>
                    </w:rPr>
                    <w:t>监测日期</w:t>
                  </w:r>
                </w:p>
              </w:tc>
              <w:tc>
                <w:tcPr>
                  <w:tcW w:w="1463"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b/>
                      <w:kern w:val="2"/>
                      <w:sz w:val="21"/>
                      <w:szCs w:val="21"/>
                    </w:rPr>
                  </w:pPr>
                  <w:r>
                    <w:rPr>
                      <w:rFonts w:ascii="Times New Roman" w:hAnsi="Times New Roman"/>
                      <w:b/>
                      <w:kern w:val="2"/>
                      <w:sz w:val="21"/>
                      <w:szCs w:val="21"/>
                    </w:rPr>
                    <w:t>pH（无量纲）</w:t>
                  </w:r>
                </w:p>
              </w:tc>
              <w:tc>
                <w:tcPr>
                  <w:tcW w:w="875"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b/>
                      <w:kern w:val="2"/>
                      <w:sz w:val="21"/>
                      <w:szCs w:val="21"/>
                    </w:rPr>
                  </w:pPr>
                  <w:r>
                    <w:rPr>
                      <w:rFonts w:ascii="Times New Roman" w:hAnsi="Times New Roman"/>
                      <w:b/>
                      <w:kern w:val="2"/>
                      <w:sz w:val="21"/>
                      <w:szCs w:val="21"/>
                    </w:rPr>
                    <w:t>COD</w:t>
                  </w:r>
                </w:p>
              </w:tc>
              <w:tc>
                <w:tcPr>
                  <w:tcW w:w="925"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b/>
                      <w:kern w:val="2"/>
                      <w:sz w:val="21"/>
                      <w:szCs w:val="21"/>
                    </w:rPr>
                  </w:pPr>
                  <w:r>
                    <w:rPr>
                      <w:rFonts w:ascii="Times New Roman" w:hAnsi="Times New Roman"/>
                      <w:b/>
                      <w:kern w:val="2"/>
                      <w:sz w:val="21"/>
                      <w:szCs w:val="21"/>
                    </w:rPr>
                    <w:t>SS</w:t>
                  </w:r>
                </w:p>
              </w:tc>
              <w:tc>
                <w:tcPr>
                  <w:tcW w:w="1037"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b/>
                      <w:kern w:val="2"/>
                      <w:sz w:val="21"/>
                      <w:szCs w:val="21"/>
                    </w:rPr>
                  </w:pPr>
                  <w:r>
                    <w:rPr>
                      <w:rFonts w:ascii="Times New Roman" w:hAnsi="Times New Roman"/>
                      <w:b/>
                      <w:kern w:val="2"/>
                      <w:sz w:val="21"/>
                      <w:szCs w:val="21"/>
                    </w:rPr>
                    <w:t>NH</w:t>
                  </w:r>
                  <w:r>
                    <w:rPr>
                      <w:rFonts w:ascii="Times New Roman" w:hAnsi="Times New Roman"/>
                      <w:b/>
                      <w:kern w:val="2"/>
                      <w:sz w:val="21"/>
                      <w:szCs w:val="21"/>
                      <w:vertAlign w:val="subscript"/>
                    </w:rPr>
                    <w:t>3</w:t>
                  </w:r>
                  <w:r>
                    <w:rPr>
                      <w:rFonts w:ascii="Times New Roman" w:hAnsi="Times New Roman"/>
                      <w:b/>
                      <w:kern w:val="2"/>
                      <w:sz w:val="21"/>
                      <w:szCs w:val="21"/>
                    </w:rPr>
                    <w:t>-N</w:t>
                  </w:r>
                </w:p>
              </w:tc>
              <w:tc>
                <w:tcPr>
                  <w:tcW w:w="1182"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b/>
                      <w:kern w:val="2"/>
                      <w:sz w:val="21"/>
                      <w:szCs w:val="21"/>
                    </w:rPr>
                  </w:pPr>
                  <w:r>
                    <w:rPr>
                      <w:rFonts w:hint="eastAsia" w:ascii="Times New Roman" w:hAnsi="Times New Roman"/>
                      <w:b/>
                      <w:kern w:val="2"/>
                      <w:sz w:val="21"/>
                      <w:szCs w:val="21"/>
                    </w:rPr>
                    <w:t>BOD</w:t>
                  </w:r>
                  <w:r>
                    <w:rPr>
                      <w:rFonts w:hint="eastAsia" w:ascii="Times New Roman" w:hAnsi="Times New Roman"/>
                      <w:b/>
                      <w:kern w:val="2"/>
                      <w:sz w:val="21"/>
                      <w:szCs w:val="21"/>
                      <w:vertAlign w:val="sub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0" w:hRule="atLeast"/>
                <w:jc w:val="center"/>
              </w:trPr>
              <w:tc>
                <w:tcPr>
                  <w:tcW w:w="1344" w:type="dxa"/>
                  <w:vMerge w:val="restart"/>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kern w:val="2"/>
                      <w:sz w:val="21"/>
                      <w:szCs w:val="21"/>
                    </w:rPr>
                  </w:pPr>
                  <w:r>
                    <w:rPr>
                      <w:rFonts w:ascii="Times New Roman" w:hAnsi="Times New Roman"/>
                      <w:spacing w:val="-2"/>
                      <w:kern w:val="28"/>
                      <w:sz w:val="21"/>
                      <w:szCs w:val="21"/>
                    </w:rPr>
                    <w:t>第二污水处理厂入清流河上游500m</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pacing w:val="-20"/>
                      <w:kern w:val="0"/>
                      <w:szCs w:val="21"/>
                    </w:rPr>
                  </w:pPr>
                  <w:r>
                    <w:rPr>
                      <w:rFonts w:hint="eastAsia"/>
                      <w:spacing w:val="-20"/>
                      <w:kern w:val="0"/>
                      <w:szCs w:val="21"/>
                    </w:rPr>
                    <w:t>2018.7.2</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7.19</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20</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16</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1.75</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344" w:type="dxa"/>
                  <w:vMerge w:val="continue"/>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spacing w:val="-2"/>
                      <w:kern w:val="28"/>
                      <w:sz w:val="21"/>
                      <w:szCs w:val="21"/>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pacing w:val="-20"/>
                      <w:kern w:val="0"/>
                      <w:szCs w:val="21"/>
                    </w:rPr>
                  </w:pPr>
                  <w:r>
                    <w:rPr>
                      <w:rFonts w:hint="eastAsia"/>
                      <w:spacing w:val="-20"/>
                      <w:kern w:val="0"/>
                      <w:szCs w:val="21"/>
                    </w:rPr>
                    <w:t>2018.7.3</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7.16</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21</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14</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1.55</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344" w:type="dxa"/>
                  <w:vMerge w:val="restart"/>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kern w:val="2"/>
                      <w:sz w:val="21"/>
                      <w:szCs w:val="21"/>
                    </w:rPr>
                  </w:pPr>
                  <w:r>
                    <w:rPr>
                      <w:rFonts w:ascii="Times New Roman" w:hAnsi="Times New Roman"/>
                      <w:spacing w:val="-2"/>
                      <w:kern w:val="28"/>
                      <w:sz w:val="21"/>
                      <w:szCs w:val="21"/>
                    </w:rPr>
                    <w:t>第二污水处理厂入清流河下游500m</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pacing w:val="-20"/>
                      <w:kern w:val="0"/>
                      <w:szCs w:val="21"/>
                    </w:rPr>
                  </w:pPr>
                  <w:r>
                    <w:rPr>
                      <w:rFonts w:hint="eastAsia"/>
                      <w:spacing w:val="-20"/>
                      <w:kern w:val="0"/>
                      <w:szCs w:val="21"/>
                    </w:rPr>
                    <w:t>2018.7.2</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7.11</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24</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14</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1.84</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344" w:type="dxa"/>
                  <w:vMerge w:val="continue"/>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spacing w:val="-2"/>
                      <w:kern w:val="28"/>
                      <w:sz w:val="21"/>
                      <w:szCs w:val="21"/>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pacing w:val="-20"/>
                      <w:kern w:val="0"/>
                      <w:szCs w:val="21"/>
                    </w:rPr>
                  </w:pPr>
                  <w:r>
                    <w:rPr>
                      <w:rFonts w:hint="eastAsia"/>
                      <w:spacing w:val="-20"/>
                      <w:kern w:val="0"/>
                      <w:szCs w:val="21"/>
                    </w:rPr>
                    <w:t>2018.7.3</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7.08</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26</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17</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1.92</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344" w:type="dxa"/>
                  <w:vMerge w:val="restart"/>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kern w:val="2"/>
                      <w:sz w:val="21"/>
                      <w:szCs w:val="21"/>
                    </w:rPr>
                  </w:pPr>
                  <w:r>
                    <w:rPr>
                      <w:rFonts w:ascii="Times New Roman" w:hAnsi="Times New Roman"/>
                      <w:spacing w:val="-2"/>
                      <w:kern w:val="28"/>
                      <w:sz w:val="21"/>
                      <w:szCs w:val="21"/>
                    </w:rPr>
                    <w:t>第二污水处理厂入清流河下游</w:t>
                  </w:r>
                  <w:r>
                    <w:rPr>
                      <w:rFonts w:hint="eastAsia" w:ascii="Times New Roman" w:hAnsi="Times New Roman"/>
                      <w:spacing w:val="-2"/>
                      <w:kern w:val="28"/>
                      <w:sz w:val="21"/>
                      <w:szCs w:val="21"/>
                    </w:rPr>
                    <w:t>20</w:t>
                  </w:r>
                  <w:r>
                    <w:rPr>
                      <w:rFonts w:ascii="Times New Roman" w:hAnsi="Times New Roman"/>
                      <w:spacing w:val="-2"/>
                      <w:kern w:val="28"/>
                      <w:sz w:val="21"/>
                      <w:szCs w:val="21"/>
                    </w:rPr>
                    <w:t>00m</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pacing w:val="-20"/>
                      <w:kern w:val="0"/>
                      <w:szCs w:val="21"/>
                    </w:rPr>
                  </w:pPr>
                  <w:r>
                    <w:rPr>
                      <w:rFonts w:hint="eastAsia"/>
                      <w:spacing w:val="-20"/>
                      <w:kern w:val="0"/>
                      <w:szCs w:val="21"/>
                    </w:rPr>
                    <w:t>2018.7.2</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7.15</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22</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13</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2.16</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344" w:type="dxa"/>
                  <w:vMerge w:val="continue"/>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spacing w:val="-2"/>
                      <w:kern w:val="28"/>
                      <w:sz w:val="21"/>
                      <w:szCs w:val="21"/>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pacing w:val="-20"/>
                      <w:kern w:val="0"/>
                      <w:szCs w:val="21"/>
                    </w:rPr>
                  </w:pPr>
                  <w:r>
                    <w:rPr>
                      <w:rFonts w:hint="eastAsia"/>
                      <w:spacing w:val="-20"/>
                      <w:kern w:val="0"/>
                      <w:szCs w:val="21"/>
                    </w:rPr>
                    <w:t>2018.7.3</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7.21</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24</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12</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2.04</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456" w:type="dxa"/>
                  <w:gridSpan w:val="2"/>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kern w:val="2"/>
                      <w:sz w:val="21"/>
                      <w:szCs w:val="21"/>
                    </w:rPr>
                  </w:pPr>
                  <w:r>
                    <w:rPr>
                      <w:rFonts w:ascii="Times New Roman" w:hAnsi="Times New Roman"/>
                      <w:kern w:val="2"/>
                      <w:sz w:val="21"/>
                      <w:szCs w:val="21"/>
                    </w:rPr>
                    <w:t>标准值</w:t>
                  </w:r>
                </w:p>
              </w:tc>
              <w:tc>
                <w:tcPr>
                  <w:tcW w:w="1463"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kern w:val="1"/>
                      <w:sz w:val="21"/>
                      <w:szCs w:val="21"/>
                    </w:rPr>
                  </w:pPr>
                  <w:r>
                    <w:rPr>
                      <w:rFonts w:ascii="Times New Roman" w:hAnsi="Times New Roman"/>
                      <w:kern w:val="1"/>
                      <w:sz w:val="21"/>
                      <w:szCs w:val="21"/>
                    </w:rPr>
                    <w:t>6~9</w:t>
                  </w:r>
                </w:p>
              </w:tc>
              <w:tc>
                <w:tcPr>
                  <w:tcW w:w="875"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kern w:val="1"/>
                      <w:sz w:val="21"/>
                      <w:szCs w:val="21"/>
                    </w:rPr>
                  </w:pPr>
                  <w:r>
                    <w:rPr>
                      <w:rFonts w:ascii="Times New Roman" w:hAnsi="Times New Roman"/>
                      <w:kern w:val="1"/>
                      <w:sz w:val="21"/>
                      <w:szCs w:val="21"/>
                    </w:rPr>
                    <w:t>30</w:t>
                  </w:r>
                </w:p>
              </w:tc>
              <w:tc>
                <w:tcPr>
                  <w:tcW w:w="925"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kern w:val="1"/>
                      <w:sz w:val="21"/>
                      <w:szCs w:val="21"/>
                    </w:rPr>
                  </w:pPr>
                  <w:r>
                    <w:rPr>
                      <w:rFonts w:ascii="Times New Roman" w:hAnsi="Times New Roman"/>
                      <w:kern w:val="1"/>
                      <w:sz w:val="21"/>
                      <w:szCs w:val="21"/>
                    </w:rPr>
                    <w:t>60</w:t>
                  </w:r>
                </w:p>
              </w:tc>
              <w:tc>
                <w:tcPr>
                  <w:tcW w:w="1037"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kern w:val="1"/>
                      <w:sz w:val="21"/>
                      <w:szCs w:val="21"/>
                    </w:rPr>
                  </w:pPr>
                  <w:r>
                    <w:rPr>
                      <w:rFonts w:ascii="Times New Roman" w:hAnsi="Times New Roman"/>
                      <w:kern w:val="1"/>
                      <w:sz w:val="21"/>
                      <w:szCs w:val="21"/>
                    </w:rPr>
                    <w:t>1.5</w:t>
                  </w:r>
                </w:p>
              </w:tc>
              <w:tc>
                <w:tcPr>
                  <w:tcW w:w="1182" w:type="dxa"/>
                  <w:tcBorders>
                    <w:top w:val="single" w:color="auto" w:sz="4" w:space="0"/>
                    <w:left w:val="single" w:color="auto" w:sz="4" w:space="0"/>
                    <w:bottom w:val="single" w:color="auto" w:sz="4" w:space="0"/>
                    <w:right w:val="single" w:color="auto" w:sz="4" w:space="0"/>
                  </w:tcBorders>
                  <w:vAlign w:val="center"/>
                </w:tcPr>
                <w:p>
                  <w:pPr>
                    <w:pStyle w:val="19"/>
                    <w:widowControl w:val="0"/>
                    <w:adjustRightInd w:val="0"/>
                    <w:snapToGrid w:val="0"/>
                    <w:spacing w:before="0"/>
                    <w:jc w:val="center"/>
                    <w:rPr>
                      <w:rFonts w:ascii="Times New Roman" w:hAnsi="Times New Roman"/>
                      <w:kern w:val="1"/>
                      <w:sz w:val="21"/>
                      <w:szCs w:val="21"/>
                    </w:rPr>
                  </w:pPr>
                  <w:r>
                    <w:rPr>
                      <w:rFonts w:hint="eastAsia" w:ascii="Times New Roman" w:hAnsi="Times New Roman"/>
                      <w:kern w:val="1"/>
                      <w:sz w:val="21"/>
                      <w:szCs w:val="21"/>
                    </w:rPr>
                    <w:t>6</w:t>
                  </w:r>
                </w:p>
              </w:tc>
            </w:tr>
          </w:tbl>
          <w:p>
            <w:pPr>
              <w:pStyle w:val="11"/>
              <w:spacing w:after="0" w:line="360" w:lineRule="auto"/>
              <w:ind w:left="0" w:leftChars="0" w:firstLine="480" w:firstLineChars="200"/>
            </w:pPr>
            <w:r>
              <w:rPr>
                <w:rStyle w:val="52"/>
                <w:shd w:val="clear" w:color="auto" w:fill="FFFFFF"/>
              </w:rPr>
              <w:t>从上表中可知，清流河的水质中各监测因子均符合《地表水环境质量标准》(GB3838-2002)中IV类水质要求，其中，SS符合《地表水资源质量标准》（SL63-94）中四级标准要求，说明清流河水环境质量现状良好。</w:t>
            </w:r>
          </w:p>
          <w:p>
            <w:pPr>
              <w:pStyle w:val="11"/>
              <w:spacing w:after="0" w:line="360" w:lineRule="auto"/>
              <w:ind w:left="0" w:leftChars="0" w:firstLine="480" w:firstLineChars="200"/>
              <w:rPr>
                <w:bCs/>
              </w:rPr>
            </w:pPr>
            <w:r>
              <w:rPr>
                <w:rFonts w:hint="eastAsia"/>
                <w:bCs/>
              </w:rPr>
              <w:t>3、</w:t>
            </w:r>
            <w:r>
              <w:rPr>
                <w:b/>
              </w:rPr>
              <w:t>声环境质量状况</w:t>
            </w:r>
          </w:p>
          <w:p>
            <w:pPr>
              <w:spacing w:line="360" w:lineRule="auto"/>
              <w:ind w:firstLine="480" w:firstLineChars="200"/>
              <w:rPr>
                <w:b/>
                <w:sz w:val="24"/>
              </w:rPr>
            </w:pPr>
            <w:r>
              <w:rPr>
                <w:sz w:val="24"/>
              </w:rPr>
              <w:t>根据拟建项目厂界环境现状，在</w:t>
            </w:r>
            <w:r>
              <w:rPr>
                <w:rFonts w:hint="eastAsia"/>
                <w:sz w:val="24"/>
              </w:rPr>
              <w:t>厂界四周</w:t>
            </w:r>
            <w:r>
              <w:rPr>
                <w:sz w:val="24"/>
              </w:rPr>
              <w:t>共布设4个噪声监测点，</w:t>
            </w:r>
            <w:r>
              <w:rPr>
                <w:rFonts w:hint="eastAsia"/>
                <w:sz w:val="24"/>
              </w:rPr>
              <w:t>厂界南侧在建小区布设1个</w:t>
            </w:r>
            <w:r>
              <w:rPr>
                <w:sz w:val="24"/>
              </w:rPr>
              <w:t>监测点</w:t>
            </w:r>
            <w:r>
              <w:rPr>
                <w:rFonts w:hint="eastAsia"/>
                <w:sz w:val="24"/>
              </w:rPr>
              <w:t>。合肥森力检测技术服务有限公司</w:t>
            </w:r>
            <w:r>
              <w:rPr>
                <w:sz w:val="24"/>
              </w:rPr>
              <w:t>于20</w:t>
            </w:r>
            <w:r>
              <w:rPr>
                <w:rFonts w:hint="eastAsia"/>
                <w:sz w:val="24"/>
              </w:rPr>
              <w:t>21</w:t>
            </w:r>
            <w:r>
              <w:rPr>
                <w:sz w:val="24"/>
              </w:rPr>
              <w:t>年</w:t>
            </w:r>
            <w:r>
              <w:rPr>
                <w:rFonts w:hint="eastAsia"/>
                <w:sz w:val="24"/>
              </w:rPr>
              <w:t>4</w:t>
            </w:r>
            <w:r>
              <w:rPr>
                <w:sz w:val="24"/>
              </w:rPr>
              <w:t>月</w:t>
            </w:r>
            <w:r>
              <w:rPr>
                <w:rFonts w:hint="eastAsia"/>
                <w:sz w:val="24"/>
              </w:rPr>
              <w:t>23日~4月24日</w:t>
            </w:r>
            <w:r>
              <w:rPr>
                <w:sz w:val="24"/>
              </w:rPr>
              <w:t>对拟建项目厂址各向厂界的监测点进行了现状监测；其监测结果见</w:t>
            </w:r>
            <w:r>
              <w:rPr>
                <w:rFonts w:hint="eastAsia"/>
                <w:sz w:val="24"/>
              </w:rPr>
              <w:t>下表</w:t>
            </w:r>
            <w:r>
              <w:rPr>
                <w:sz w:val="24"/>
              </w:rPr>
              <w:t>。</w:t>
            </w:r>
          </w:p>
          <w:p>
            <w:pPr>
              <w:spacing w:line="360" w:lineRule="auto"/>
              <w:jc w:val="center"/>
              <w:rPr>
                <w:b/>
                <w:sz w:val="24"/>
              </w:rPr>
            </w:pPr>
            <w:r>
              <w:rPr>
                <w:b/>
                <w:sz w:val="24"/>
              </w:rPr>
              <w:t>表</w:t>
            </w:r>
            <w:r>
              <w:rPr>
                <w:rFonts w:hint="eastAsia"/>
                <w:b/>
                <w:sz w:val="24"/>
              </w:rPr>
              <w:t>3-4</w:t>
            </w:r>
            <w:r>
              <w:rPr>
                <w:b/>
                <w:sz w:val="24"/>
              </w:rPr>
              <w:t xml:space="preserve">  </w:t>
            </w:r>
            <w:r>
              <w:rPr>
                <w:rFonts w:hint="eastAsia"/>
                <w:b/>
                <w:sz w:val="24"/>
              </w:rPr>
              <w:t>声环境质量现状</w:t>
            </w:r>
            <w:r>
              <w:rPr>
                <w:b/>
                <w:sz w:val="24"/>
              </w:rPr>
              <w:t>监测结果表</w:t>
            </w:r>
            <w:r>
              <w:rPr>
                <w:rFonts w:hint="eastAsia"/>
                <w:b/>
                <w:sz w:val="24"/>
              </w:rPr>
              <w:t xml:space="preserve">  单位：</w:t>
            </w:r>
            <w:r>
              <w:rPr>
                <w:b/>
                <w:sz w:val="24"/>
              </w:rPr>
              <w:t>dB(A)</w:t>
            </w:r>
          </w:p>
          <w:tbl>
            <w:tblPr>
              <w:tblStyle w:val="23"/>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644"/>
              <w:gridCol w:w="1644"/>
              <w:gridCol w:w="1644"/>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Align w:val="center"/>
                </w:tcPr>
                <w:p>
                  <w:pPr>
                    <w:jc w:val="center"/>
                    <w:rPr>
                      <w:b/>
                      <w:szCs w:val="21"/>
                    </w:rPr>
                  </w:pPr>
                  <w:bookmarkStart w:id="2" w:name="_Toc76676746"/>
                  <w:bookmarkStart w:id="3" w:name="_Toc76676155"/>
                  <w:bookmarkStart w:id="4" w:name="_Toc79294904"/>
                  <w:r>
                    <w:rPr>
                      <w:rFonts w:hint="eastAsia"/>
                      <w:b/>
                      <w:szCs w:val="21"/>
                    </w:rPr>
                    <w:t>检测日期</w:t>
                  </w:r>
                </w:p>
              </w:tc>
              <w:tc>
                <w:tcPr>
                  <w:tcW w:w="1644" w:type="dxa"/>
                  <w:vAlign w:val="center"/>
                </w:tcPr>
                <w:p>
                  <w:pPr>
                    <w:jc w:val="center"/>
                    <w:rPr>
                      <w:b/>
                      <w:szCs w:val="21"/>
                    </w:rPr>
                  </w:pPr>
                  <w:r>
                    <w:rPr>
                      <w:rFonts w:hint="eastAsia"/>
                      <w:b/>
                      <w:szCs w:val="21"/>
                    </w:rPr>
                    <w:t>监测点位</w:t>
                  </w:r>
                </w:p>
              </w:tc>
              <w:tc>
                <w:tcPr>
                  <w:tcW w:w="1644" w:type="dxa"/>
                  <w:vAlign w:val="center"/>
                </w:tcPr>
                <w:p>
                  <w:pPr>
                    <w:jc w:val="center"/>
                    <w:rPr>
                      <w:b/>
                      <w:szCs w:val="21"/>
                    </w:rPr>
                  </w:pPr>
                  <w:r>
                    <w:rPr>
                      <w:rFonts w:hint="eastAsia"/>
                      <w:b/>
                      <w:szCs w:val="21"/>
                    </w:rPr>
                    <w:t>昼间噪声测量值Leq</w:t>
                  </w:r>
                </w:p>
              </w:tc>
              <w:tc>
                <w:tcPr>
                  <w:tcW w:w="1644" w:type="dxa"/>
                  <w:vAlign w:val="center"/>
                </w:tcPr>
                <w:p>
                  <w:pPr>
                    <w:jc w:val="center"/>
                    <w:rPr>
                      <w:b/>
                      <w:szCs w:val="21"/>
                    </w:rPr>
                  </w:pPr>
                  <w:r>
                    <w:rPr>
                      <w:rFonts w:hint="eastAsia"/>
                      <w:b/>
                      <w:szCs w:val="21"/>
                    </w:rPr>
                    <w:t>夜间噪声测量值Leq</w:t>
                  </w:r>
                </w:p>
              </w:tc>
              <w:tc>
                <w:tcPr>
                  <w:tcW w:w="1645" w:type="dxa"/>
                  <w:vAlign w:val="center"/>
                </w:tcPr>
                <w:p>
                  <w:pPr>
                    <w:jc w:val="center"/>
                    <w:rPr>
                      <w:b/>
                      <w:szCs w:val="21"/>
                    </w:rPr>
                  </w:pPr>
                  <w:r>
                    <w:rPr>
                      <w:rFonts w:hint="eastAsia"/>
                      <w:b/>
                      <w:szCs w:val="21"/>
                    </w:rPr>
                    <w:t xml:space="preserve">（GB12348-2008）3 类标准限值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restart"/>
                  <w:vAlign w:val="center"/>
                </w:tcPr>
                <w:p>
                  <w:pPr>
                    <w:jc w:val="center"/>
                    <w:rPr>
                      <w:bCs/>
                      <w:szCs w:val="21"/>
                    </w:rPr>
                  </w:pPr>
                  <w:r>
                    <w:rPr>
                      <w:rFonts w:hint="eastAsia"/>
                      <w:bCs/>
                      <w:szCs w:val="21"/>
                    </w:rPr>
                    <w:t>2021.4.23</w:t>
                  </w:r>
                </w:p>
              </w:tc>
              <w:tc>
                <w:tcPr>
                  <w:tcW w:w="1644" w:type="dxa"/>
                  <w:vAlign w:val="center"/>
                </w:tcPr>
                <w:p>
                  <w:pPr>
                    <w:jc w:val="center"/>
                    <w:rPr>
                      <w:bCs/>
                      <w:szCs w:val="21"/>
                    </w:rPr>
                  </w:pPr>
                  <w:r>
                    <w:rPr>
                      <w:rFonts w:hint="eastAsia"/>
                      <w:bCs/>
                      <w:szCs w:val="21"/>
                    </w:rPr>
                    <w:t>1东厂界</w:t>
                  </w:r>
                </w:p>
              </w:tc>
              <w:tc>
                <w:tcPr>
                  <w:tcW w:w="1644" w:type="dxa"/>
                  <w:vAlign w:val="center"/>
                </w:tcPr>
                <w:p>
                  <w:pPr>
                    <w:jc w:val="center"/>
                    <w:rPr>
                      <w:bCs/>
                      <w:szCs w:val="21"/>
                    </w:rPr>
                  </w:pPr>
                  <w:r>
                    <w:rPr>
                      <w:rFonts w:hint="eastAsia"/>
                      <w:color w:val="000000" w:themeColor="text1"/>
                      <w:kern w:val="0"/>
                      <w:szCs w:val="21"/>
                    </w:rPr>
                    <w:t>53.7</w:t>
                  </w:r>
                </w:p>
              </w:tc>
              <w:tc>
                <w:tcPr>
                  <w:tcW w:w="1644" w:type="dxa"/>
                  <w:vAlign w:val="center"/>
                </w:tcPr>
                <w:p>
                  <w:pPr>
                    <w:jc w:val="center"/>
                    <w:rPr>
                      <w:bCs/>
                      <w:szCs w:val="21"/>
                    </w:rPr>
                  </w:pPr>
                  <w:r>
                    <w:rPr>
                      <w:rFonts w:hint="eastAsia"/>
                      <w:bCs/>
                      <w:szCs w:val="21"/>
                    </w:rPr>
                    <w:t>48.9</w:t>
                  </w:r>
                </w:p>
              </w:tc>
              <w:tc>
                <w:tcPr>
                  <w:tcW w:w="1645" w:type="dxa"/>
                  <w:vMerge w:val="restart"/>
                  <w:vAlign w:val="center"/>
                </w:tcPr>
                <w:p>
                  <w:pPr>
                    <w:jc w:val="center"/>
                    <w:rPr>
                      <w:bCs/>
                      <w:szCs w:val="21"/>
                    </w:rPr>
                  </w:pPr>
                  <w:r>
                    <w:rPr>
                      <w:rFonts w:hint="eastAsia"/>
                      <w:bCs/>
                      <w:szCs w:val="21"/>
                    </w:rPr>
                    <w:t>昼间65</w:t>
                  </w:r>
                </w:p>
                <w:p>
                  <w:pPr>
                    <w:jc w:val="center"/>
                    <w:rPr>
                      <w:bCs/>
                      <w:szCs w:val="21"/>
                    </w:rPr>
                  </w:pPr>
                  <w:r>
                    <w:rPr>
                      <w:rFonts w:hint="eastAsia"/>
                      <w:bCs/>
                      <w:szCs w:val="21"/>
                    </w:rPr>
                    <w:t>夜间55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continue"/>
                  <w:vAlign w:val="center"/>
                </w:tcPr>
                <w:p>
                  <w:pPr>
                    <w:jc w:val="center"/>
                    <w:rPr>
                      <w:bCs/>
                      <w:szCs w:val="21"/>
                    </w:rPr>
                  </w:pPr>
                </w:p>
              </w:tc>
              <w:tc>
                <w:tcPr>
                  <w:tcW w:w="1644" w:type="dxa"/>
                  <w:vAlign w:val="center"/>
                </w:tcPr>
                <w:p>
                  <w:pPr>
                    <w:jc w:val="center"/>
                    <w:rPr>
                      <w:bCs/>
                      <w:szCs w:val="21"/>
                    </w:rPr>
                  </w:pPr>
                  <w:r>
                    <w:rPr>
                      <w:rFonts w:hint="eastAsia"/>
                      <w:bCs/>
                      <w:szCs w:val="21"/>
                    </w:rPr>
                    <w:t>2南厂界</w:t>
                  </w:r>
                </w:p>
              </w:tc>
              <w:tc>
                <w:tcPr>
                  <w:tcW w:w="1644" w:type="dxa"/>
                  <w:vAlign w:val="center"/>
                </w:tcPr>
                <w:p>
                  <w:pPr>
                    <w:jc w:val="center"/>
                    <w:rPr>
                      <w:bCs/>
                      <w:szCs w:val="21"/>
                    </w:rPr>
                  </w:pPr>
                  <w:r>
                    <w:rPr>
                      <w:rFonts w:hint="eastAsia"/>
                      <w:color w:val="000000" w:themeColor="text1"/>
                      <w:kern w:val="0"/>
                      <w:szCs w:val="21"/>
                    </w:rPr>
                    <w:t>52.5</w:t>
                  </w:r>
                </w:p>
              </w:tc>
              <w:tc>
                <w:tcPr>
                  <w:tcW w:w="1644" w:type="dxa"/>
                  <w:vAlign w:val="center"/>
                </w:tcPr>
                <w:p>
                  <w:pPr>
                    <w:jc w:val="center"/>
                    <w:rPr>
                      <w:bCs/>
                      <w:szCs w:val="21"/>
                    </w:rPr>
                  </w:pPr>
                  <w:r>
                    <w:rPr>
                      <w:rFonts w:hint="eastAsia"/>
                      <w:bCs/>
                      <w:szCs w:val="21"/>
                    </w:rPr>
                    <w:t>48.8</w:t>
                  </w:r>
                </w:p>
              </w:tc>
              <w:tc>
                <w:tcPr>
                  <w:tcW w:w="1645"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continue"/>
                  <w:vAlign w:val="center"/>
                </w:tcPr>
                <w:p>
                  <w:pPr>
                    <w:jc w:val="center"/>
                    <w:rPr>
                      <w:bCs/>
                      <w:szCs w:val="21"/>
                    </w:rPr>
                  </w:pPr>
                </w:p>
              </w:tc>
              <w:tc>
                <w:tcPr>
                  <w:tcW w:w="1644" w:type="dxa"/>
                  <w:vAlign w:val="center"/>
                </w:tcPr>
                <w:p>
                  <w:pPr>
                    <w:jc w:val="center"/>
                    <w:rPr>
                      <w:bCs/>
                      <w:szCs w:val="21"/>
                    </w:rPr>
                  </w:pPr>
                  <w:r>
                    <w:rPr>
                      <w:rFonts w:hint="eastAsia"/>
                      <w:bCs/>
                      <w:szCs w:val="21"/>
                    </w:rPr>
                    <w:t>3西厂界</w:t>
                  </w:r>
                </w:p>
              </w:tc>
              <w:tc>
                <w:tcPr>
                  <w:tcW w:w="1644" w:type="dxa"/>
                  <w:vAlign w:val="center"/>
                </w:tcPr>
                <w:p>
                  <w:pPr>
                    <w:jc w:val="center"/>
                    <w:rPr>
                      <w:bCs/>
                      <w:szCs w:val="21"/>
                    </w:rPr>
                  </w:pPr>
                  <w:r>
                    <w:rPr>
                      <w:rFonts w:hint="eastAsia"/>
                      <w:color w:val="000000" w:themeColor="text1"/>
                      <w:kern w:val="0"/>
                      <w:szCs w:val="21"/>
                    </w:rPr>
                    <w:t>51.4</w:t>
                  </w:r>
                </w:p>
              </w:tc>
              <w:tc>
                <w:tcPr>
                  <w:tcW w:w="1644" w:type="dxa"/>
                  <w:vAlign w:val="center"/>
                </w:tcPr>
                <w:p>
                  <w:pPr>
                    <w:jc w:val="center"/>
                    <w:rPr>
                      <w:bCs/>
                      <w:szCs w:val="21"/>
                    </w:rPr>
                  </w:pPr>
                  <w:r>
                    <w:rPr>
                      <w:rFonts w:hint="eastAsia"/>
                      <w:bCs/>
                      <w:szCs w:val="21"/>
                    </w:rPr>
                    <w:t>48.6</w:t>
                  </w:r>
                </w:p>
              </w:tc>
              <w:tc>
                <w:tcPr>
                  <w:tcW w:w="1645"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continue"/>
                  <w:vAlign w:val="center"/>
                </w:tcPr>
                <w:p>
                  <w:pPr>
                    <w:jc w:val="center"/>
                    <w:rPr>
                      <w:bCs/>
                      <w:szCs w:val="21"/>
                    </w:rPr>
                  </w:pPr>
                </w:p>
              </w:tc>
              <w:tc>
                <w:tcPr>
                  <w:tcW w:w="1644" w:type="dxa"/>
                  <w:vAlign w:val="center"/>
                </w:tcPr>
                <w:p>
                  <w:pPr>
                    <w:jc w:val="center"/>
                    <w:rPr>
                      <w:bCs/>
                      <w:szCs w:val="21"/>
                    </w:rPr>
                  </w:pPr>
                  <w:r>
                    <w:rPr>
                      <w:rFonts w:hint="eastAsia"/>
                      <w:bCs/>
                      <w:szCs w:val="21"/>
                    </w:rPr>
                    <w:t>4北厂界</w:t>
                  </w:r>
                </w:p>
              </w:tc>
              <w:tc>
                <w:tcPr>
                  <w:tcW w:w="1644" w:type="dxa"/>
                  <w:vAlign w:val="center"/>
                </w:tcPr>
                <w:p>
                  <w:pPr>
                    <w:jc w:val="center"/>
                    <w:rPr>
                      <w:bCs/>
                      <w:szCs w:val="21"/>
                    </w:rPr>
                  </w:pPr>
                  <w:r>
                    <w:rPr>
                      <w:rFonts w:hint="eastAsia"/>
                      <w:color w:val="000000" w:themeColor="text1"/>
                      <w:kern w:val="0"/>
                      <w:szCs w:val="21"/>
                    </w:rPr>
                    <w:t>54.2</w:t>
                  </w:r>
                </w:p>
              </w:tc>
              <w:tc>
                <w:tcPr>
                  <w:tcW w:w="1644" w:type="dxa"/>
                  <w:vAlign w:val="center"/>
                </w:tcPr>
                <w:p>
                  <w:pPr>
                    <w:jc w:val="center"/>
                    <w:rPr>
                      <w:bCs/>
                      <w:szCs w:val="21"/>
                    </w:rPr>
                  </w:pPr>
                  <w:r>
                    <w:rPr>
                      <w:rFonts w:hint="eastAsia"/>
                      <w:bCs/>
                      <w:szCs w:val="21"/>
                    </w:rPr>
                    <w:t>48.4</w:t>
                  </w:r>
                </w:p>
              </w:tc>
              <w:tc>
                <w:tcPr>
                  <w:tcW w:w="1645"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continue"/>
                  <w:vAlign w:val="center"/>
                </w:tcPr>
                <w:p>
                  <w:pPr>
                    <w:jc w:val="center"/>
                    <w:rPr>
                      <w:bCs/>
                      <w:szCs w:val="21"/>
                    </w:rPr>
                  </w:pPr>
                </w:p>
              </w:tc>
              <w:tc>
                <w:tcPr>
                  <w:tcW w:w="1644" w:type="dxa"/>
                  <w:vAlign w:val="center"/>
                </w:tcPr>
                <w:p>
                  <w:pPr>
                    <w:jc w:val="center"/>
                    <w:rPr>
                      <w:bCs/>
                      <w:szCs w:val="21"/>
                    </w:rPr>
                  </w:pPr>
                  <w:r>
                    <w:rPr>
                      <w:rFonts w:hint="eastAsia"/>
                      <w:bCs/>
                      <w:szCs w:val="21"/>
                    </w:rPr>
                    <w:t>5东方玖著小区</w:t>
                  </w:r>
                </w:p>
              </w:tc>
              <w:tc>
                <w:tcPr>
                  <w:tcW w:w="1644" w:type="dxa"/>
                  <w:vAlign w:val="center"/>
                </w:tcPr>
                <w:p>
                  <w:pPr>
                    <w:jc w:val="center"/>
                    <w:rPr>
                      <w:bCs/>
                      <w:szCs w:val="21"/>
                    </w:rPr>
                  </w:pPr>
                  <w:r>
                    <w:rPr>
                      <w:rFonts w:hint="eastAsia"/>
                      <w:color w:val="000000" w:themeColor="text1"/>
                      <w:kern w:val="0"/>
                      <w:szCs w:val="21"/>
                    </w:rPr>
                    <w:t>52.9</w:t>
                  </w:r>
                </w:p>
              </w:tc>
              <w:tc>
                <w:tcPr>
                  <w:tcW w:w="1644" w:type="dxa"/>
                  <w:vAlign w:val="center"/>
                </w:tcPr>
                <w:p>
                  <w:pPr>
                    <w:jc w:val="center"/>
                    <w:rPr>
                      <w:bCs/>
                      <w:szCs w:val="21"/>
                    </w:rPr>
                  </w:pPr>
                  <w:r>
                    <w:rPr>
                      <w:rFonts w:hint="eastAsia"/>
                      <w:bCs/>
                      <w:szCs w:val="21"/>
                    </w:rPr>
                    <w:t>51.8</w:t>
                  </w:r>
                </w:p>
              </w:tc>
              <w:tc>
                <w:tcPr>
                  <w:tcW w:w="1645"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restart"/>
                  <w:vAlign w:val="center"/>
                </w:tcPr>
                <w:p>
                  <w:pPr>
                    <w:jc w:val="center"/>
                    <w:rPr>
                      <w:bCs/>
                      <w:szCs w:val="21"/>
                    </w:rPr>
                  </w:pPr>
                  <w:r>
                    <w:rPr>
                      <w:rFonts w:hint="eastAsia"/>
                      <w:bCs/>
                      <w:szCs w:val="21"/>
                    </w:rPr>
                    <w:t>2021.4.24</w:t>
                  </w:r>
                </w:p>
              </w:tc>
              <w:tc>
                <w:tcPr>
                  <w:tcW w:w="1644" w:type="dxa"/>
                  <w:vAlign w:val="center"/>
                </w:tcPr>
                <w:p>
                  <w:pPr>
                    <w:jc w:val="center"/>
                    <w:rPr>
                      <w:bCs/>
                      <w:szCs w:val="21"/>
                    </w:rPr>
                  </w:pPr>
                  <w:r>
                    <w:rPr>
                      <w:rFonts w:hint="eastAsia"/>
                      <w:bCs/>
                      <w:szCs w:val="21"/>
                    </w:rPr>
                    <w:t>1东厂界</w:t>
                  </w:r>
                </w:p>
              </w:tc>
              <w:tc>
                <w:tcPr>
                  <w:tcW w:w="1644" w:type="dxa"/>
                  <w:vAlign w:val="center"/>
                </w:tcPr>
                <w:p>
                  <w:pPr>
                    <w:jc w:val="center"/>
                    <w:rPr>
                      <w:bCs/>
                      <w:szCs w:val="21"/>
                    </w:rPr>
                  </w:pPr>
                  <w:r>
                    <w:rPr>
                      <w:rFonts w:hint="eastAsia"/>
                      <w:color w:val="000000" w:themeColor="text1"/>
                      <w:kern w:val="0"/>
                      <w:szCs w:val="21"/>
                    </w:rPr>
                    <w:t>53.6</w:t>
                  </w:r>
                </w:p>
              </w:tc>
              <w:tc>
                <w:tcPr>
                  <w:tcW w:w="1644" w:type="dxa"/>
                  <w:vAlign w:val="center"/>
                </w:tcPr>
                <w:p>
                  <w:pPr>
                    <w:jc w:val="center"/>
                    <w:rPr>
                      <w:bCs/>
                      <w:szCs w:val="21"/>
                    </w:rPr>
                  </w:pPr>
                  <w:r>
                    <w:rPr>
                      <w:rFonts w:hint="eastAsia"/>
                      <w:bCs/>
                      <w:szCs w:val="21"/>
                    </w:rPr>
                    <w:t>51.5</w:t>
                  </w:r>
                </w:p>
              </w:tc>
              <w:tc>
                <w:tcPr>
                  <w:tcW w:w="1645"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continue"/>
                  <w:vAlign w:val="center"/>
                </w:tcPr>
                <w:p>
                  <w:pPr>
                    <w:jc w:val="center"/>
                    <w:rPr>
                      <w:bCs/>
                      <w:szCs w:val="21"/>
                    </w:rPr>
                  </w:pPr>
                </w:p>
              </w:tc>
              <w:tc>
                <w:tcPr>
                  <w:tcW w:w="1644" w:type="dxa"/>
                  <w:vAlign w:val="center"/>
                </w:tcPr>
                <w:p>
                  <w:pPr>
                    <w:jc w:val="center"/>
                    <w:rPr>
                      <w:bCs/>
                      <w:szCs w:val="21"/>
                    </w:rPr>
                  </w:pPr>
                  <w:r>
                    <w:rPr>
                      <w:rFonts w:hint="eastAsia"/>
                      <w:bCs/>
                      <w:szCs w:val="21"/>
                    </w:rPr>
                    <w:t>2南厂界</w:t>
                  </w:r>
                </w:p>
              </w:tc>
              <w:tc>
                <w:tcPr>
                  <w:tcW w:w="1644" w:type="dxa"/>
                  <w:vAlign w:val="center"/>
                </w:tcPr>
                <w:p>
                  <w:pPr>
                    <w:jc w:val="center"/>
                    <w:rPr>
                      <w:bCs/>
                      <w:szCs w:val="21"/>
                    </w:rPr>
                  </w:pPr>
                  <w:r>
                    <w:rPr>
                      <w:rFonts w:hint="eastAsia"/>
                      <w:color w:val="000000" w:themeColor="text1"/>
                      <w:kern w:val="0"/>
                      <w:szCs w:val="21"/>
                    </w:rPr>
                    <w:t>51.5</w:t>
                  </w:r>
                </w:p>
              </w:tc>
              <w:tc>
                <w:tcPr>
                  <w:tcW w:w="1644" w:type="dxa"/>
                  <w:vAlign w:val="center"/>
                </w:tcPr>
                <w:p>
                  <w:pPr>
                    <w:jc w:val="center"/>
                    <w:rPr>
                      <w:bCs/>
                      <w:szCs w:val="21"/>
                    </w:rPr>
                  </w:pPr>
                  <w:r>
                    <w:rPr>
                      <w:rFonts w:hint="eastAsia"/>
                      <w:bCs/>
                      <w:szCs w:val="21"/>
                    </w:rPr>
                    <w:t>52.1</w:t>
                  </w:r>
                </w:p>
              </w:tc>
              <w:tc>
                <w:tcPr>
                  <w:tcW w:w="1645"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continue"/>
                  <w:vAlign w:val="center"/>
                </w:tcPr>
                <w:p>
                  <w:pPr>
                    <w:jc w:val="center"/>
                    <w:rPr>
                      <w:bCs/>
                      <w:szCs w:val="21"/>
                    </w:rPr>
                  </w:pPr>
                </w:p>
              </w:tc>
              <w:tc>
                <w:tcPr>
                  <w:tcW w:w="1644" w:type="dxa"/>
                  <w:vAlign w:val="center"/>
                </w:tcPr>
                <w:p>
                  <w:pPr>
                    <w:jc w:val="center"/>
                    <w:rPr>
                      <w:bCs/>
                      <w:szCs w:val="21"/>
                    </w:rPr>
                  </w:pPr>
                  <w:r>
                    <w:rPr>
                      <w:rFonts w:hint="eastAsia"/>
                      <w:bCs/>
                      <w:szCs w:val="21"/>
                    </w:rPr>
                    <w:t>3西厂界</w:t>
                  </w:r>
                </w:p>
              </w:tc>
              <w:tc>
                <w:tcPr>
                  <w:tcW w:w="1644" w:type="dxa"/>
                  <w:vAlign w:val="center"/>
                </w:tcPr>
                <w:p>
                  <w:pPr>
                    <w:jc w:val="center"/>
                    <w:rPr>
                      <w:bCs/>
                      <w:szCs w:val="21"/>
                    </w:rPr>
                  </w:pPr>
                  <w:r>
                    <w:rPr>
                      <w:rFonts w:hint="eastAsia"/>
                      <w:color w:val="000000" w:themeColor="text1"/>
                      <w:kern w:val="0"/>
                      <w:szCs w:val="21"/>
                    </w:rPr>
                    <w:t>53.6</w:t>
                  </w:r>
                </w:p>
              </w:tc>
              <w:tc>
                <w:tcPr>
                  <w:tcW w:w="1644" w:type="dxa"/>
                  <w:vAlign w:val="center"/>
                </w:tcPr>
                <w:p>
                  <w:pPr>
                    <w:jc w:val="center"/>
                    <w:rPr>
                      <w:bCs/>
                      <w:szCs w:val="21"/>
                    </w:rPr>
                  </w:pPr>
                  <w:r>
                    <w:rPr>
                      <w:rFonts w:hint="eastAsia"/>
                      <w:bCs/>
                      <w:szCs w:val="21"/>
                    </w:rPr>
                    <w:t>51.1</w:t>
                  </w:r>
                </w:p>
              </w:tc>
              <w:tc>
                <w:tcPr>
                  <w:tcW w:w="1645"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continue"/>
                  <w:vAlign w:val="center"/>
                </w:tcPr>
                <w:p>
                  <w:pPr>
                    <w:jc w:val="center"/>
                    <w:rPr>
                      <w:bCs/>
                      <w:szCs w:val="21"/>
                    </w:rPr>
                  </w:pPr>
                </w:p>
              </w:tc>
              <w:tc>
                <w:tcPr>
                  <w:tcW w:w="1644" w:type="dxa"/>
                  <w:vAlign w:val="center"/>
                </w:tcPr>
                <w:p>
                  <w:pPr>
                    <w:jc w:val="center"/>
                    <w:rPr>
                      <w:bCs/>
                      <w:szCs w:val="21"/>
                    </w:rPr>
                  </w:pPr>
                  <w:r>
                    <w:rPr>
                      <w:rFonts w:hint="eastAsia"/>
                      <w:bCs/>
                      <w:szCs w:val="21"/>
                    </w:rPr>
                    <w:t>4北厂界</w:t>
                  </w:r>
                </w:p>
              </w:tc>
              <w:tc>
                <w:tcPr>
                  <w:tcW w:w="1644" w:type="dxa"/>
                  <w:vAlign w:val="center"/>
                </w:tcPr>
                <w:p>
                  <w:pPr>
                    <w:jc w:val="center"/>
                    <w:rPr>
                      <w:bCs/>
                      <w:szCs w:val="21"/>
                    </w:rPr>
                  </w:pPr>
                  <w:r>
                    <w:rPr>
                      <w:rFonts w:hint="eastAsia"/>
                      <w:color w:val="000000" w:themeColor="text1"/>
                      <w:kern w:val="0"/>
                      <w:szCs w:val="21"/>
                    </w:rPr>
                    <w:t>54.5</w:t>
                  </w:r>
                </w:p>
              </w:tc>
              <w:tc>
                <w:tcPr>
                  <w:tcW w:w="1644" w:type="dxa"/>
                  <w:vAlign w:val="center"/>
                </w:tcPr>
                <w:p>
                  <w:pPr>
                    <w:jc w:val="center"/>
                    <w:rPr>
                      <w:bCs/>
                      <w:szCs w:val="21"/>
                    </w:rPr>
                  </w:pPr>
                  <w:r>
                    <w:rPr>
                      <w:rFonts w:hint="eastAsia"/>
                      <w:bCs/>
                      <w:szCs w:val="21"/>
                    </w:rPr>
                    <w:t>48.9</w:t>
                  </w:r>
                </w:p>
              </w:tc>
              <w:tc>
                <w:tcPr>
                  <w:tcW w:w="1645" w:type="dxa"/>
                  <w:vMerge w:val="continue"/>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3" w:type="dxa"/>
                  <w:vMerge w:val="continue"/>
                  <w:vAlign w:val="center"/>
                </w:tcPr>
                <w:p>
                  <w:pPr>
                    <w:jc w:val="center"/>
                    <w:rPr>
                      <w:bCs/>
                      <w:szCs w:val="21"/>
                    </w:rPr>
                  </w:pPr>
                </w:p>
              </w:tc>
              <w:tc>
                <w:tcPr>
                  <w:tcW w:w="1644" w:type="dxa"/>
                  <w:vAlign w:val="center"/>
                </w:tcPr>
                <w:p>
                  <w:pPr>
                    <w:jc w:val="center"/>
                    <w:rPr>
                      <w:bCs/>
                      <w:szCs w:val="21"/>
                    </w:rPr>
                  </w:pPr>
                  <w:r>
                    <w:rPr>
                      <w:rFonts w:hint="eastAsia"/>
                      <w:bCs/>
                      <w:szCs w:val="21"/>
                    </w:rPr>
                    <w:t>5东方玖著小区</w:t>
                  </w:r>
                </w:p>
              </w:tc>
              <w:tc>
                <w:tcPr>
                  <w:tcW w:w="1644" w:type="dxa"/>
                  <w:vAlign w:val="center"/>
                </w:tcPr>
                <w:p>
                  <w:pPr>
                    <w:jc w:val="center"/>
                    <w:rPr>
                      <w:bCs/>
                      <w:szCs w:val="21"/>
                    </w:rPr>
                  </w:pPr>
                  <w:r>
                    <w:rPr>
                      <w:rFonts w:hint="eastAsia"/>
                      <w:color w:val="000000" w:themeColor="text1"/>
                      <w:kern w:val="0"/>
                      <w:szCs w:val="21"/>
                    </w:rPr>
                    <w:t>51.3</w:t>
                  </w:r>
                </w:p>
              </w:tc>
              <w:tc>
                <w:tcPr>
                  <w:tcW w:w="1644" w:type="dxa"/>
                  <w:vAlign w:val="center"/>
                </w:tcPr>
                <w:p>
                  <w:pPr>
                    <w:jc w:val="center"/>
                    <w:rPr>
                      <w:bCs/>
                      <w:szCs w:val="21"/>
                    </w:rPr>
                  </w:pPr>
                  <w:r>
                    <w:rPr>
                      <w:rFonts w:hint="eastAsia"/>
                      <w:bCs/>
                      <w:szCs w:val="21"/>
                    </w:rPr>
                    <w:t>48.8</w:t>
                  </w:r>
                </w:p>
              </w:tc>
              <w:tc>
                <w:tcPr>
                  <w:tcW w:w="1645" w:type="dxa"/>
                  <w:vMerge w:val="continue"/>
                  <w:vAlign w:val="center"/>
                </w:tcPr>
                <w:p>
                  <w:pPr>
                    <w:jc w:val="center"/>
                    <w:rPr>
                      <w:bCs/>
                      <w:szCs w:val="21"/>
                    </w:rPr>
                  </w:pPr>
                </w:p>
              </w:tc>
            </w:tr>
          </w:tbl>
          <w:p>
            <w:pPr>
              <w:spacing w:line="360" w:lineRule="auto"/>
              <w:ind w:firstLine="480" w:firstLineChars="200"/>
              <w:jc w:val="left"/>
              <w:rPr>
                <w:rFonts w:ascii="宋体" w:hAnsi="宋体" w:cs="宋体"/>
                <w:kern w:val="0"/>
                <w:szCs w:val="21"/>
              </w:rPr>
            </w:pPr>
            <w:r>
              <w:rPr>
                <w:sz w:val="24"/>
              </w:rPr>
              <w:t>由上表可知，项目区域</w:t>
            </w:r>
            <w:r>
              <w:rPr>
                <w:rFonts w:hint="eastAsia"/>
                <w:sz w:val="24"/>
              </w:rPr>
              <w:t>声环境质量</w:t>
            </w:r>
            <w:r>
              <w:rPr>
                <w:sz w:val="24"/>
              </w:rPr>
              <w:t>昼间</w:t>
            </w:r>
            <w:r>
              <w:rPr>
                <w:rFonts w:hint="eastAsia"/>
                <w:sz w:val="24"/>
              </w:rPr>
              <w:t>符合</w:t>
            </w:r>
            <w:r>
              <w:rPr>
                <w:sz w:val="24"/>
              </w:rPr>
              <w:t>《声环境质量标准》</w:t>
            </w:r>
            <w:r>
              <w:rPr>
                <w:rFonts w:hint="eastAsia"/>
                <w:sz w:val="24"/>
              </w:rPr>
              <w:t>（</w:t>
            </w:r>
            <w:r>
              <w:rPr>
                <w:sz w:val="24"/>
              </w:rPr>
              <w:t>GB3096-2008</w:t>
            </w:r>
            <w:r>
              <w:rPr>
                <w:rFonts w:hint="eastAsia"/>
                <w:sz w:val="24"/>
              </w:rPr>
              <w:t>）</w:t>
            </w:r>
            <w:r>
              <w:rPr>
                <w:sz w:val="24"/>
              </w:rPr>
              <w:t>中</w:t>
            </w:r>
            <w:r>
              <w:rPr>
                <w:rFonts w:hint="eastAsia"/>
                <w:sz w:val="24"/>
              </w:rPr>
              <w:t>3</w:t>
            </w:r>
            <w:r>
              <w:rPr>
                <w:sz w:val="24"/>
              </w:rPr>
              <w:t>类区标准</w:t>
            </w:r>
            <w:bookmarkEnd w:id="2"/>
            <w:bookmarkEnd w:id="3"/>
            <w:bookmarkEnd w:id="4"/>
            <w:r>
              <w:rPr>
                <w:sz w:val="24"/>
              </w:rPr>
              <w:t>，声环境现状较好。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90" w:type="dxa"/>
            <w:vAlign w:val="center"/>
          </w:tcPr>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环</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境</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保</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护</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目</w:t>
            </w:r>
          </w:p>
          <w:p>
            <w:pPr>
              <w:adjustRightInd w:val="0"/>
              <w:snapToGrid w:val="0"/>
              <w:spacing w:line="480" w:lineRule="auto"/>
              <w:jc w:val="center"/>
              <w:rPr>
                <w:rFonts w:ascii="宋体" w:hAnsi="宋体" w:cs="宋体"/>
                <w:kern w:val="0"/>
                <w:szCs w:val="21"/>
              </w:rPr>
            </w:pPr>
            <w:r>
              <w:rPr>
                <w:rFonts w:hint="eastAsia" w:ascii="宋体" w:hAnsi="宋体" w:cs="宋体"/>
                <w:kern w:val="0"/>
                <w:sz w:val="28"/>
                <w:szCs w:val="28"/>
              </w:rPr>
              <w:t>标</w:t>
            </w:r>
          </w:p>
        </w:tc>
        <w:tc>
          <w:tcPr>
            <w:tcW w:w="8500" w:type="dxa"/>
            <w:vAlign w:val="center"/>
          </w:tcPr>
          <w:p>
            <w:pPr>
              <w:pStyle w:val="13"/>
              <w:snapToGrid w:val="0"/>
              <w:spacing w:after="0" w:line="360" w:lineRule="auto"/>
              <w:ind w:left="0" w:leftChars="0" w:firstLine="480"/>
              <w:jc w:val="left"/>
              <w:rPr>
                <w:sz w:val="24"/>
              </w:rPr>
            </w:pPr>
            <w:r>
              <w:rPr>
                <w:sz w:val="24"/>
              </w:rPr>
              <w:t>1、大气环境：根据对</w:t>
            </w:r>
            <w:r>
              <w:rPr>
                <w:rFonts w:hint="eastAsia"/>
                <w:sz w:val="24"/>
              </w:rPr>
              <w:t>项目</w:t>
            </w:r>
            <w:r>
              <w:rPr>
                <w:sz w:val="24"/>
              </w:rPr>
              <w:t>所在厂址周边环境现状的踏勘，</w:t>
            </w:r>
            <w:r>
              <w:rPr>
                <w:rFonts w:hint="eastAsia"/>
                <w:sz w:val="24"/>
              </w:rPr>
              <w:t>本项目</w:t>
            </w:r>
            <w:r>
              <w:rPr>
                <w:sz w:val="24"/>
              </w:rPr>
              <w:t>厂界周边 500m 范围内无自然保护区、风景名胜区保护目标</w:t>
            </w:r>
            <w:r>
              <w:rPr>
                <w:rFonts w:hint="eastAsia"/>
                <w:sz w:val="24"/>
              </w:rPr>
              <w:t>、但有</w:t>
            </w:r>
            <w:r>
              <w:rPr>
                <w:sz w:val="24"/>
              </w:rPr>
              <w:t>居住区和农村地区中人群较集中的区域等</w:t>
            </w:r>
            <w:r>
              <w:rPr>
                <w:rFonts w:hint="eastAsia"/>
                <w:sz w:val="24"/>
              </w:rPr>
              <w:t>环境保护目标，保护目标详见下表</w:t>
            </w:r>
            <w:r>
              <w:rPr>
                <w:sz w:val="24"/>
              </w:rPr>
              <w:t>。</w:t>
            </w:r>
          </w:p>
          <w:p>
            <w:pPr>
              <w:pStyle w:val="13"/>
              <w:snapToGrid w:val="0"/>
              <w:spacing w:after="0" w:line="360" w:lineRule="auto"/>
              <w:ind w:left="0" w:leftChars="0" w:firstLine="480"/>
              <w:jc w:val="left"/>
              <w:rPr>
                <w:sz w:val="24"/>
              </w:rPr>
            </w:pPr>
            <w:r>
              <w:rPr>
                <w:sz w:val="24"/>
              </w:rPr>
              <w:t>2、声环境：据对</w:t>
            </w:r>
            <w:r>
              <w:rPr>
                <w:rFonts w:hint="eastAsia"/>
                <w:sz w:val="24"/>
              </w:rPr>
              <w:t>本项目</w:t>
            </w:r>
            <w:r>
              <w:rPr>
                <w:sz w:val="24"/>
              </w:rPr>
              <w:t>所在厂址周边环境现状的踏勘，</w:t>
            </w:r>
            <w:r>
              <w:rPr>
                <w:rFonts w:hint="eastAsia"/>
                <w:sz w:val="24"/>
              </w:rPr>
              <w:t>本项目</w:t>
            </w:r>
            <w:r>
              <w:rPr>
                <w:sz w:val="24"/>
              </w:rPr>
              <w:t xml:space="preserve">厂界周边50m范围内无声环境保护目标。 </w:t>
            </w:r>
          </w:p>
          <w:p>
            <w:pPr>
              <w:pStyle w:val="13"/>
              <w:snapToGrid w:val="0"/>
              <w:spacing w:after="0" w:line="360" w:lineRule="auto"/>
              <w:ind w:left="0" w:leftChars="0" w:firstLine="480"/>
              <w:jc w:val="left"/>
              <w:rPr>
                <w:sz w:val="24"/>
              </w:rPr>
            </w:pPr>
            <w:r>
              <w:rPr>
                <w:sz w:val="24"/>
              </w:rPr>
              <w:t>3、地下水环境：根据对</w:t>
            </w:r>
            <w:r>
              <w:rPr>
                <w:rFonts w:hint="eastAsia"/>
                <w:sz w:val="24"/>
              </w:rPr>
              <w:t>本项目</w:t>
            </w:r>
            <w:r>
              <w:rPr>
                <w:sz w:val="24"/>
              </w:rPr>
              <w:t>所在厂址周边环境现状的踏勘，</w:t>
            </w:r>
            <w:r>
              <w:rPr>
                <w:rFonts w:hint="eastAsia"/>
                <w:sz w:val="24"/>
              </w:rPr>
              <w:t>本项目</w:t>
            </w:r>
            <w:r>
              <w:rPr>
                <w:sz w:val="24"/>
              </w:rPr>
              <w:t>厂界周边500m范围内无地下水集中式引用水水源和热水、矿泉水、温泉等特殊地下水资源。</w:t>
            </w:r>
          </w:p>
          <w:p>
            <w:pPr>
              <w:pStyle w:val="13"/>
              <w:snapToGrid w:val="0"/>
              <w:spacing w:after="0" w:line="360" w:lineRule="auto"/>
              <w:ind w:left="0" w:leftChars="0" w:firstLine="480"/>
              <w:jc w:val="left"/>
              <w:rPr>
                <w:bCs/>
                <w:sz w:val="24"/>
              </w:rPr>
            </w:pPr>
            <w:r>
              <w:rPr>
                <w:sz w:val="24"/>
              </w:rPr>
              <w:t>4、生态环境：本项目位于</w:t>
            </w:r>
            <w:r>
              <w:rPr>
                <w:rFonts w:hint="eastAsia" w:hAnsi="宋体"/>
                <w:sz w:val="24"/>
              </w:rPr>
              <w:t>滁州市苏滁产业园常州南路611号</w:t>
            </w:r>
            <w:r>
              <w:rPr>
                <w:sz w:val="24"/>
              </w:rPr>
              <w:t>，</w:t>
            </w:r>
            <w:r>
              <w:rPr>
                <w:rFonts w:hint="eastAsia"/>
                <w:sz w:val="24"/>
              </w:rPr>
              <w:t>属于</w:t>
            </w:r>
            <w:r>
              <w:rPr>
                <w:sz w:val="24"/>
              </w:rPr>
              <w:t>新增用地</w:t>
            </w:r>
            <w:r>
              <w:rPr>
                <w:rFonts w:hint="eastAsia"/>
                <w:sz w:val="24"/>
              </w:rPr>
              <w:t>，用地范围内无生态环境保护目标</w:t>
            </w:r>
            <w:r>
              <w:rPr>
                <w:sz w:val="24"/>
              </w:rPr>
              <w:t>。</w:t>
            </w:r>
          </w:p>
          <w:p>
            <w:pPr>
              <w:pStyle w:val="8"/>
              <w:keepNext/>
              <w:spacing w:line="360" w:lineRule="auto"/>
              <w:jc w:val="center"/>
            </w:pPr>
            <w:r>
              <w:rPr>
                <w:rFonts w:ascii="Times New Roman" w:hAnsi="Times New Roman" w:eastAsia="宋体"/>
                <w:b/>
                <w:sz w:val="24"/>
              </w:rPr>
              <w:t>表</w:t>
            </w:r>
            <w:r>
              <w:rPr>
                <w:rFonts w:hint="eastAsia" w:ascii="Times New Roman" w:hAnsi="Times New Roman" w:eastAsia="宋体"/>
                <w:b/>
                <w:sz w:val="24"/>
              </w:rPr>
              <w:t>3-5</w:t>
            </w:r>
            <w:r>
              <w:rPr>
                <w:rFonts w:ascii="Times New Roman" w:hAnsi="Times New Roman" w:eastAsia="宋体"/>
                <w:b/>
                <w:sz w:val="24"/>
              </w:rPr>
              <w:t xml:space="preserve"> 大气环境保护目标</w:t>
            </w:r>
          </w:p>
          <w:tbl>
            <w:tblPr>
              <w:tblStyle w:val="22"/>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462"/>
              <w:gridCol w:w="1675"/>
              <w:gridCol w:w="783"/>
              <w:gridCol w:w="713"/>
              <w:gridCol w:w="642"/>
              <w:gridCol w:w="756"/>
              <w:gridCol w:w="115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vMerge w:val="restart"/>
                  <w:vAlign w:val="center"/>
                </w:tcPr>
                <w:p>
                  <w:pPr>
                    <w:jc w:val="center"/>
                    <w:rPr>
                      <w:b/>
                      <w:szCs w:val="21"/>
                    </w:rPr>
                  </w:pPr>
                  <w:r>
                    <w:rPr>
                      <w:b/>
                      <w:szCs w:val="21"/>
                    </w:rPr>
                    <w:t>环境要素</w:t>
                  </w:r>
                </w:p>
              </w:tc>
              <w:tc>
                <w:tcPr>
                  <w:tcW w:w="2137" w:type="dxa"/>
                  <w:gridSpan w:val="2"/>
                  <w:vMerge w:val="restart"/>
                  <w:vAlign w:val="center"/>
                </w:tcPr>
                <w:p>
                  <w:pPr>
                    <w:jc w:val="center"/>
                    <w:rPr>
                      <w:b/>
                      <w:szCs w:val="21"/>
                    </w:rPr>
                  </w:pPr>
                  <w:r>
                    <w:rPr>
                      <w:b/>
                      <w:szCs w:val="21"/>
                    </w:rPr>
                    <w:t>环境保护对象</w:t>
                  </w:r>
                </w:p>
              </w:tc>
              <w:tc>
                <w:tcPr>
                  <w:tcW w:w="1496" w:type="dxa"/>
                  <w:gridSpan w:val="2"/>
                  <w:vAlign w:val="center"/>
                </w:tcPr>
                <w:p>
                  <w:pPr>
                    <w:jc w:val="center"/>
                    <w:rPr>
                      <w:b/>
                      <w:szCs w:val="21"/>
                    </w:rPr>
                  </w:pPr>
                  <w:r>
                    <w:rPr>
                      <w:b/>
                      <w:szCs w:val="21"/>
                    </w:rPr>
                    <w:t>坐标/m</w:t>
                  </w:r>
                </w:p>
              </w:tc>
              <w:tc>
                <w:tcPr>
                  <w:tcW w:w="642" w:type="dxa"/>
                  <w:vMerge w:val="restart"/>
                  <w:vAlign w:val="center"/>
                </w:tcPr>
                <w:p>
                  <w:pPr>
                    <w:jc w:val="center"/>
                    <w:rPr>
                      <w:b/>
                      <w:szCs w:val="21"/>
                    </w:rPr>
                  </w:pPr>
                  <w:r>
                    <w:rPr>
                      <w:b/>
                      <w:szCs w:val="21"/>
                    </w:rPr>
                    <w:t>方位</w:t>
                  </w:r>
                </w:p>
              </w:tc>
              <w:tc>
                <w:tcPr>
                  <w:tcW w:w="756" w:type="dxa"/>
                  <w:vMerge w:val="restart"/>
                  <w:vAlign w:val="center"/>
                </w:tcPr>
                <w:p>
                  <w:pPr>
                    <w:jc w:val="center"/>
                    <w:rPr>
                      <w:b/>
                      <w:szCs w:val="21"/>
                    </w:rPr>
                  </w:pPr>
                  <w:r>
                    <w:rPr>
                      <w:b/>
                      <w:szCs w:val="21"/>
                    </w:rPr>
                    <w:t>距离（m）</w:t>
                  </w:r>
                </w:p>
              </w:tc>
              <w:tc>
                <w:tcPr>
                  <w:tcW w:w="1157" w:type="dxa"/>
                  <w:vMerge w:val="restart"/>
                  <w:vAlign w:val="center"/>
                </w:tcPr>
                <w:p>
                  <w:pPr>
                    <w:jc w:val="center"/>
                    <w:rPr>
                      <w:b/>
                      <w:szCs w:val="21"/>
                    </w:rPr>
                  </w:pPr>
                  <w:r>
                    <w:rPr>
                      <w:b/>
                      <w:szCs w:val="21"/>
                    </w:rPr>
                    <w:t>规模（人）</w:t>
                  </w:r>
                </w:p>
              </w:tc>
              <w:tc>
                <w:tcPr>
                  <w:tcW w:w="1367" w:type="dxa"/>
                  <w:vMerge w:val="restart"/>
                  <w:vAlign w:val="center"/>
                </w:tcPr>
                <w:p>
                  <w:pPr>
                    <w:jc w:val="center"/>
                    <w:rPr>
                      <w:b/>
                      <w:szCs w:val="21"/>
                    </w:rPr>
                  </w:pPr>
                  <w:r>
                    <w:rPr>
                      <w:b/>
                      <w:szCs w:val="21"/>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5" w:type="dxa"/>
                  <w:vMerge w:val="continue"/>
                  <w:vAlign w:val="center"/>
                </w:tcPr>
                <w:p>
                  <w:pPr>
                    <w:ind w:firstLine="210"/>
                    <w:jc w:val="center"/>
                  </w:pPr>
                </w:p>
              </w:tc>
              <w:tc>
                <w:tcPr>
                  <w:tcW w:w="2137" w:type="dxa"/>
                  <w:gridSpan w:val="2"/>
                  <w:vMerge w:val="continue"/>
                  <w:vAlign w:val="center"/>
                </w:tcPr>
                <w:p>
                  <w:pPr>
                    <w:ind w:firstLine="210"/>
                    <w:jc w:val="center"/>
                  </w:pPr>
                </w:p>
              </w:tc>
              <w:tc>
                <w:tcPr>
                  <w:tcW w:w="783" w:type="dxa"/>
                  <w:vAlign w:val="center"/>
                </w:tcPr>
                <w:p>
                  <w:pPr>
                    <w:jc w:val="center"/>
                    <w:rPr>
                      <w:b/>
                      <w:bCs/>
                    </w:rPr>
                  </w:pPr>
                  <w:r>
                    <w:rPr>
                      <w:b/>
                      <w:bCs/>
                    </w:rPr>
                    <w:t>X</w:t>
                  </w:r>
                </w:p>
              </w:tc>
              <w:tc>
                <w:tcPr>
                  <w:tcW w:w="713" w:type="dxa"/>
                  <w:vAlign w:val="center"/>
                </w:tcPr>
                <w:p>
                  <w:pPr>
                    <w:jc w:val="center"/>
                    <w:rPr>
                      <w:b/>
                      <w:bCs/>
                    </w:rPr>
                  </w:pPr>
                  <w:r>
                    <w:rPr>
                      <w:b/>
                      <w:bCs/>
                    </w:rPr>
                    <w:t>Y</w:t>
                  </w:r>
                </w:p>
              </w:tc>
              <w:tc>
                <w:tcPr>
                  <w:tcW w:w="642" w:type="dxa"/>
                  <w:vMerge w:val="continue"/>
                  <w:vAlign w:val="center"/>
                </w:tcPr>
                <w:p>
                  <w:pPr>
                    <w:ind w:firstLine="210"/>
                    <w:jc w:val="center"/>
                  </w:pPr>
                </w:p>
              </w:tc>
              <w:tc>
                <w:tcPr>
                  <w:tcW w:w="756" w:type="dxa"/>
                  <w:vMerge w:val="continue"/>
                  <w:vAlign w:val="center"/>
                </w:tcPr>
                <w:p>
                  <w:pPr>
                    <w:ind w:firstLine="210"/>
                    <w:jc w:val="center"/>
                  </w:pPr>
                </w:p>
              </w:tc>
              <w:tc>
                <w:tcPr>
                  <w:tcW w:w="1157" w:type="dxa"/>
                  <w:vMerge w:val="continue"/>
                  <w:vAlign w:val="center"/>
                </w:tcPr>
                <w:p>
                  <w:pPr>
                    <w:ind w:firstLine="210"/>
                    <w:jc w:val="center"/>
                  </w:pPr>
                </w:p>
              </w:tc>
              <w:tc>
                <w:tcPr>
                  <w:tcW w:w="1367" w:type="dxa"/>
                  <w:vMerge w:val="continue"/>
                  <w:vAlign w:val="center"/>
                </w:tcPr>
                <w:p>
                  <w:pPr>
                    <w:ind w:firstLine="21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65" w:type="dxa"/>
                  <w:vMerge w:val="restart"/>
                  <w:vAlign w:val="center"/>
                </w:tcPr>
                <w:p>
                  <w:pPr>
                    <w:jc w:val="center"/>
                  </w:pPr>
                  <w:r>
                    <w:t>空气</w:t>
                  </w:r>
                </w:p>
                <w:p>
                  <w:pPr>
                    <w:jc w:val="center"/>
                  </w:pPr>
                  <w:r>
                    <w:t>环境</w:t>
                  </w:r>
                </w:p>
              </w:tc>
              <w:tc>
                <w:tcPr>
                  <w:tcW w:w="2137" w:type="dxa"/>
                  <w:gridSpan w:val="2"/>
                  <w:vAlign w:val="center"/>
                </w:tcPr>
                <w:p>
                  <w:pPr>
                    <w:jc w:val="center"/>
                    <w:rPr>
                      <w:szCs w:val="21"/>
                    </w:rPr>
                  </w:pPr>
                  <w:r>
                    <w:rPr>
                      <w:szCs w:val="21"/>
                    </w:rPr>
                    <w:t>区域大气环境</w:t>
                  </w:r>
                </w:p>
              </w:tc>
              <w:tc>
                <w:tcPr>
                  <w:tcW w:w="783" w:type="dxa"/>
                  <w:vAlign w:val="center"/>
                </w:tcPr>
                <w:p>
                  <w:pPr>
                    <w:jc w:val="center"/>
                    <w:rPr>
                      <w:szCs w:val="21"/>
                    </w:rPr>
                  </w:pPr>
                  <w:r>
                    <w:rPr>
                      <w:szCs w:val="21"/>
                    </w:rPr>
                    <w:t>/</w:t>
                  </w:r>
                </w:p>
              </w:tc>
              <w:tc>
                <w:tcPr>
                  <w:tcW w:w="713" w:type="dxa"/>
                  <w:vAlign w:val="center"/>
                </w:tcPr>
                <w:p>
                  <w:pPr>
                    <w:jc w:val="center"/>
                    <w:rPr>
                      <w:szCs w:val="21"/>
                    </w:rPr>
                  </w:pPr>
                  <w:r>
                    <w:rPr>
                      <w:szCs w:val="21"/>
                    </w:rPr>
                    <w:t>/</w:t>
                  </w:r>
                </w:p>
              </w:tc>
              <w:tc>
                <w:tcPr>
                  <w:tcW w:w="642" w:type="dxa"/>
                  <w:vAlign w:val="center"/>
                </w:tcPr>
                <w:p>
                  <w:pPr>
                    <w:jc w:val="center"/>
                    <w:rPr>
                      <w:szCs w:val="21"/>
                    </w:rPr>
                  </w:pPr>
                  <w:r>
                    <w:rPr>
                      <w:szCs w:val="21"/>
                    </w:rPr>
                    <w:t>/</w:t>
                  </w:r>
                </w:p>
              </w:tc>
              <w:tc>
                <w:tcPr>
                  <w:tcW w:w="756" w:type="dxa"/>
                  <w:vAlign w:val="center"/>
                </w:tcPr>
                <w:p>
                  <w:pPr>
                    <w:jc w:val="center"/>
                    <w:rPr>
                      <w:szCs w:val="21"/>
                    </w:rPr>
                  </w:pPr>
                  <w:r>
                    <w:rPr>
                      <w:szCs w:val="21"/>
                    </w:rPr>
                    <w:t>/</w:t>
                  </w:r>
                </w:p>
              </w:tc>
              <w:tc>
                <w:tcPr>
                  <w:tcW w:w="1157" w:type="dxa"/>
                  <w:vAlign w:val="center"/>
                </w:tcPr>
                <w:p>
                  <w:pPr>
                    <w:jc w:val="center"/>
                    <w:rPr>
                      <w:szCs w:val="21"/>
                    </w:rPr>
                  </w:pPr>
                  <w:r>
                    <w:rPr>
                      <w:szCs w:val="21"/>
                    </w:rPr>
                    <w:t>/</w:t>
                  </w:r>
                </w:p>
              </w:tc>
              <w:tc>
                <w:tcPr>
                  <w:tcW w:w="1367" w:type="dxa"/>
                  <w:vMerge w:val="restart"/>
                  <w:vAlign w:val="center"/>
                </w:tcPr>
                <w:p>
                  <w:pPr>
                    <w:jc w:val="center"/>
                  </w:pPr>
                  <w:r>
                    <w:rPr>
                      <w:szCs w:val="21"/>
                    </w:rPr>
                    <w:t>GB3095-2012中二类区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65" w:type="dxa"/>
                  <w:vMerge w:val="continue"/>
                  <w:vAlign w:val="center"/>
                </w:tcPr>
                <w:p>
                  <w:pPr>
                    <w:ind w:firstLine="210"/>
                    <w:jc w:val="center"/>
                  </w:pPr>
                </w:p>
              </w:tc>
              <w:tc>
                <w:tcPr>
                  <w:tcW w:w="462" w:type="dxa"/>
                  <w:vAlign w:val="center"/>
                </w:tcPr>
                <w:p>
                  <w:pPr>
                    <w:jc w:val="center"/>
                    <w:rPr>
                      <w:szCs w:val="21"/>
                    </w:rPr>
                  </w:pPr>
                  <w:r>
                    <w:rPr>
                      <w:rFonts w:hint="eastAsia"/>
                      <w:szCs w:val="21"/>
                    </w:rPr>
                    <w:t>1</w:t>
                  </w:r>
                </w:p>
              </w:tc>
              <w:tc>
                <w:tcPr>
                  <w:tcW w:w="1675" w:type="dxa"/>
                  <w:vAlign w:val="center"/>
                </w:tcPr>
                <w:p>
                  <w:pPr>
                    <w:jc w:val="center"/>
                    <w:rPr>
                      <w:szCs w:val="21"/>
                    </w:rPr>
                  </w:pPr>
                  <w:r>
                    <w:rPr>
                      <w:rFonts w:hint="eastAsia"/>
                      <w:szCs w:val="21"/>
                    </w:rPr>
                    <w:t>苏高新·东方玖著（在建）</w:t>
                  </w:r>
                </w:p>
              </w:tc>
              <w:tc>
                <w:tcPr>
                  <w:tcW w:w="783" w:type="dxa"/>
                  <w:vAlign w:val="center"/>
                </w:tcPr>
                <w:p>
                  <w:pPr>
                    <w:jc w:val="center"/>
                    <w:rPr>
                      <w:szCs w:val="21"/>
                    </w:rPr>
                  </w:pPr>
                  <w:r>
                    <w:rPr>
                      <w:rFonts w:hint="eastAsia"/>
                      <w:szCs w:val="21"/>
                    </w:rPr>
                    <w:t>0</w:t>
                  </w:r>
                </w:p>
              </w:tc>
              <w:tc>
                <w:tcPr>
                  <w:tcW w:w="713" w:type="dxa"/>
                  <w:vAlign w:val="center"/>
                </w:tcPr>
                <w:p>
                  <w:pPr>
                    <w:jc w:val="center"/>
                    <w:rPr>
                      <w:szCs w:val="21"/>
                    </w:rPr>
                  </w:pPr>
                  <w:r>
                    <w:rPr>
                      <w:rFonts w:hint="eastAsia"/>
                      <w:szCs w:val="21"/>
                    </w:rPr>
                    <w:t>-200</w:t>
                  </w:r>
                </w:p>
              </w:tc>
              <w:tc>
                <w:tcPr>
                  <w:tcW w:w="642" w:type="dxa"/>
                  <w:vAlign w:val="center"/>
                </w:tcPr>
                <w:p>
                  <w:pPr>
                    <w:jc w:val="center"/>
                    <w:rPr>
                      <w:szCs w:val="21"/>
                    </w:rPr>
                  </w:pPr>
                  <w:r>
                    <w:rPr>
                      <w:rFonts w:hint="eastAsia"/>
                      <w:szCs w:val="21"/>
                    </w:rPr>
                    <w:t>S</w:t>
                  </w:r>
                </w:p>
              </w:tc>
              <w:tc>
                <w:tcPr>
                  <w:tcW w:w="756" w:type="dxa"/>
                  <w:vAlign w:val="center"/>
                </w:tcPr>
                <w:p>
                  <w:pPr>
                    <w:jc w:val="center"/>
                    <w:rPr>
                      <w:szCs w:val="21"/>
                    </w:rPr>
                  </w:pPr>
                  <w:r>
                    <w:rPr>
                      <w:rFonts w:hint="eastAsia"/>
                      <w:szCs w:val="21"/>
                    </w:rPr>
                    <w:t>200</w:t>
                  </w:r>
                </w:p>
              </w:tc>
              <w:tc>
                <w:tcPr>
                  <w:tcW w:w="1157" w:type="dxa"/>
                  <w:vAlign w:val="center"/>
                </w:tcPr>
                <w:p>
                  <w:pPr>
                    <w:jc w:val="center"/>
                    <w:rPr>
                      <w:szCs w:val="21"/>
                    </w:rPr>
                  </w:pPr>
                  <w:r>
                    <w:rPr>
                      <w:rFonts w:hint="eastAsia"/>
                      <w:szCs w:val="21"/>
                    </w:rPr>
                    <w:t>约10000</w:t>
                  </w:r>
                </w:p>
              </w:tc>
              <w:tc>
                <w:tcPr>
                  <w:tcW w:w="1367" w:type="dxa"/>
                  <w:vMerge w:val="continue"/>
                  <w:vAlign w:val="center"/>
                </w:tcPr>
                <w:p>
                  <w:pPr>
                    <w:ind w:firstLine="21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665" w:type="dxa"/>
                  <w:vMerge w:val="continue"/>
                  <w:vAlign w:val="center"/>
                </w:tcPr>
                <w:p>
                  <w:pPr>
                    <w:ind w:firstLine="210"/>
                    <w:jc w:val="center"/>
                  </w:pPr>
                </w:p>
              </w:tc>
              <w:tc>
                <w:tcPr>
                  <w:tcW w:w="462" w:type="dxa"/>
                  <w:vAlign w:val="center"/>
                </w:tcPr>
                <w:p>
                  <w:pPr>
                    <w:jc w:val="center"/>
                    <w:rPr>
                      <w:szCs w:val="21"/>
                    </w:rPr>
                  </w:pPr>
                  <w:r>
                    <w:rPr>
                      <w:rFonts w:hint="eastAsia"/>
                      <w:szCs w:val="21"/>
                    </w:rPr>
                    <w:t>2</w:t>
                  </w:r>
                </w:p>
              </w:tc>
              <w:tc>
                <w:tcPr>
                  <w:tcW w:w="1675" w:type="dxa"/>
                  <w:vAlign w:val="center"/>
                </w:tcPr>
                <w:p>
                  <w:pPr>
                    <w:jc w:val="center"/>
                    <w:rPr>
                      <w:szCs w:val="21"/>
                    </w:rPr>
                  </w:pPr>
                  <w:r>
                    <w:rPr>
                      <w:rFonts w:hint="eastAsia"/>
                      <w:szCs w:val="21"/>
                    </w:rPr>
                    <w:t>力高天宫·君逸府（在建）</w:t>
                  </w:r>
                </w:p>
              </w:tc>
              <w:tc>
                <w:tcPr>
                  <w:tcW w:w="783" w:type="dxa"/>
                  <w:vAlign w:val="center"/>
                </w:tcPr>
                <w:p>
                  <w:pPr>
                    <w:jc w:val="center"/>
                    <w:rPr>
                      <w:szCs w:val="21"/>
                    </w:rPr>
                  </w:pPr>
                  <w:r>
                    <w:rPr>
                      <w:rFonts w:hint="eastAsia"/>
                      <w:szCs w:val="21"/>
                    </w:rPr>
                    <w:t>-220</w:t>
                  </w:r>
                </w:p>
              </w:tc>
              <w:tc>
                <w:tcPr>
                  <w:tcW w:w="713" w:type="dxa"/>
                  <w:vAlign w:val="center"/>
                </w:tcPr>
                <w:p>
                  <w:pPr>
                    <w:jc w:val="center"/>
                    <w:rPr>
                      <w:szCs w:val="21"/>
                    </w:rPr>
                  </w:pPr>
                  <w:r>
                    <w:rPr>
                      <w:rFonts w:hint="eastAsia"/>
                      <w:szCs w:val="21"/>
                    </w:rPr>
                    <w:t>-200</w:t>
                  </w:r>
                </w:p>
              </w:tc>
              <w:tc>
                <w:tcPr>
                  <w:tcW w:w="642" w:type="dxa"/>
                  <w:vAlign w:val="center"/>
                </w:tcPr>
                <w:p>
                  <w:pPr>
                    <w:jc w:val="center"/>
                    <w:rPr>
                      <w:szCs w:val="21"/>
                    </w:rPr>
                  </w:pPr>
                  <w:r>
                    <w:rPr>
                      <w:rFonts w:hint="eastAsia"/>
                      <w:szCs w:val="21"/>
                    </w:rPr>
                    <w:t>SW</w:t>
                  </w:r>
                </w:p>
              </w:tc>
              <w:tc>
                <w:tcPr>
                  <w:tcW w:w="756" w:type="dxa"/>
                  <w:vAlign w:val="center"/>
                </w:tcPr>
                <w:p>
                  <w:pPr>
                    <w:jc w:val="center"/>
                    <w:rPr>
                      <w:szCs w:val="21"/>
                    </w:rPr>
                  </w:pPr>
                  <w:r>
                    <w:rPr>
                      <w:rFonts w:hint="eastAsia"/>
                      <w:szCs w:val="21"/>
                    </w:rPr>
                    <w:t>310</w:t>
                  </w:r>
                </w:p>
              </w:tc>
              <w:tc>
                <w:tcPr>
                  <w:tcW w:w="1157" w:type="dxa"/>
                  <w:vAlign w:val="center"/>
                </w:tcPr>
                <w:p>
                  <w:pPr>
                    <w:jc w:val="center"/>
                    <w:rPr>
                      <w:szCs w:val="21"/>
                    </w:rPr>
                  </w:pPr>
                  <w:r>
                    <w:rPr>
                      <w:rFonts w:hint="eastAsia"/>
                      <w:szCs w:val="21"/>
                    </w:rPr>
                    <w:t>约10000</w:t>
                  </w:r>
                </w:p>
              </w:tc>
              <w:tc>
                <w:tcPr>
                  <w:tcW w:w="1367" w:type="dxa"/>
                  <w:vMerge w:val="continue"/>
                  <w:vAlign w:val="center"/>
                </w:tcPr>
                <w:p>
                  <w:pPr>
                    <w:ind w:firstLine="210"/>
                    <w:jc w:val="center"/>
                  </w:pPr>
                </w:p>
              </w:tc>
            </w:tr>
          </w:tbl>
          <w:p>
            <w:pPr>
              <w:ind w:firstLine="420" w:firstLineChars="200"/>
              <w:jc w:val="left"/>
              <w:rPr>
                <w:b/>
                <w:color w:val="FF0000"/>
                <w:sz w:val="24"/>
              </w:rPr>
            </w:pPr>
            <w:r>
              <w:rPr>
                <w:kern w:val="0"/>
                <w:szCs w:val="21"/>
              </w:rPr>
              <w:t>注：本次评价以厂区</w:t>
            </w:r>
            <w:r>
              <w:rPr>
                <w:rFonts w:hint="eastAsia"/>
                <w:kern w:val="0"/>
                <w:szCs w:val="21"/>
              </w:rPr>
              <w:t>中心</w:t>
            </w:r>
            <w:r>
              <w:rPr>
                <w:kern w:val="0"/>
                <w:szCs w:val="21"/>
              </w:rPr>
              <w:t>为原点，坐标为（0，0）。东西方向为X轴、南北方向为Y轴，敏感点坐标为相对坐标。</w:t>
            </w:r>
          </w:p>
          <w:p>
            <w:pPr>
              <w:keepNext/>
              <w:keepLines/>
              <w:numPr>
                <w:ilvl w:val="2"/>
                <w:numId w:val="0"/>
              </w:numPr>
              <w:spacing w:before="120" w:beforeLines="50" w:line="360" w:lineRule="auto"/>
              <w:jc w:val="center"/>
              <w:outlineLvl w:val="2"/>
              <w:rPr>
                <w:b/>
                <w:bCs/>
                <w:sz w:val="24"/>
              </w:rPr>
            </w:pPr>
          </w:p>
          <w:p>
            <w:pPr>
              <w:keepNext/>
              <w:keepLines/>
              <w:numPr>
                <w:ilvl w:val="2"/>
                <w:numId w:val="0"/>
              </w:numPr>
              <w:spacing w:before="120" w:beforeLines="50" w:line="360" w:lineRule="auto"/>
              <w:jc w:val="center"/>
              <w:outlineLvl w:val="2"/>
              <w:rPr>
                <w:b/>
                <w:bCs/>
                <w:sz w:val="24"/>
              </w:rPr>
            </w:pPr>
          </w:p>
          <w:p>
            <w:pPr>
              <w:keepNext/>
              <w:keepLines/>
              <w:numPr>
                <w:ilvl w:val="2"/>
                <w:numId w:val="0"/>
              </w:numPr>
              <w:spacing w:before="120" w:beforeLines="50" w:line="360" w:lineRule="auto"/>
              <w:jc w:val="center"/>
              <w:outlineLvl w:val="2"/>
              <w:rPr>
                <w:b/>
                <w:bCs/>
                <w:sz w:val="24"/>
              </w:rPr>
            </w:pPr>
            <w:r>
              <w:rPr>
                <w:b/>
                <w:bCs/>
                <w:sz w:val="24"/>
              </w:rPr>
              <w:t>表3-</w:t>
            </w:r>
            <w:r>
              <w:rPr>
                <w:rFonts w:hint="eastAsia"/>
                <w:b/>
                <w:bCs/>
                <w:sz w:val="24"/>
              </w:rPr>
              <w:t>6</w:t>
            </w:r>
            <w:r>
              <w:rPr>
                <w:b/>
                <w:bCs/>
                <w:sz w:val="24"/>
              </w:rPr>
              <w:t xml:space="preserve"> 项目声环境主要环境保护目标一览表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301"/>
              <w:gridCol w:w="1191"/>
              <w:gridCol w:w="1118"/>
              <w:gridCol w:w="1174"/>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501" w:type="pct"/>
                  <w:vAlign w:val="center"/>
                </w:tcPr>
                <w:p>
                  <w:pPr>
                    <w:jc w:val="center"/>
                    <w:rPr>
                      <w:b/>
                      <w:bCs/>
                      <w:szCs w:val="21"/>
                    </w:rPr>
                  </w:pPr>
                  <w:r>
                    <w:rPr>
                      <w:b/>
                      <w:bCs/>
                      <w:szCs w:val="21"/>
                    </w:rPr>
                    <w:t>类别</w:t>
                  </w:r>
                </w:p>
              </w:tc>
              <w:tc>
                <w:tcPr>
                  <w:tcW w:w="786" w:type="pct"/>
                  <w:vAlign w:val="center"/>
                </w:tcPr>
                <w:p>
                  <w:pPr>
                    <w:jc w:val="center"/>
                    <w:rPr>
                      <w:b/>
                      <w:bCs/>
                      <w:szCs w:val="21"/>
                    </w:rPr>
                  </w:pPr>
                  <w:r>
                    <w:rPr>
                      <w:b/>
                      <w:bCs/>
                      <w:szCs w:val="21"/>
                    </w:rPr>
                    <w:t>保护目标</w:t>
                  </w:r>
                </w:p>
              </w:tc>
              <w:tc>
                <w:tcPr>
                  <w:tcW w:w="720" w:type="pct"/>
                  <w:vAlign w:val="center"/>
                </w:tcPr>
                <w:p>
                  <w:pPr>
                    <w:ind w:right="-80" w:rightChars="-38"/>
                    <w:jc w:val="center"/>
                    <w:rPr>
                      <w:b/>
                      <w:bCs/>
                      <w:szCs w:val="21"/>
                    </w:rPr>
                  </w:pPr>
                  <w:r>
                    <w:rPr>
                      <w:b/>
                      <w:bCs/>
                      <w:szCs w:val="21"/>
                    </w:rPr>
                    <w:t>规模</w:t>
                  </w:r>
                </w:p>
              </w:tc>
              <w:tc>
                <w:tcPr>
                  <w:tcW w:w="676" w:type="pct"/>
                  <w:vAlign w:val="center"/>
                </w:tcPr>
                <w:p>
                  <w:pPr>
                    <w:jc w:val="center"/>
                    <w:rPr>
                      <w:b/>
                      <w:bCs/>
                      <w:szCs w:val="21"/>
                    </w:rPr>
                  </w:pPr>
                  <w:r>
                    <w:rPr>
                      <w:b/>
                      <w:bCs/>
                      <w:szCs w:val="21"/>
                    </w:rPr>
                    <w:t>与项目相对位置</w:t>
                  </w:r>
                </w:p>
              </w:tc>
              <w:tc>
                <w:tcPr>
                  <w:tcW w:w="709" w:type="pct"/>
                  <w:vAlign w:val="center"/>
                </w:tcPr>
                <w:p>
                  <w:pPr>
                    <w:jc w:val="center"/>
                    <w:rPr>
                      <w:b/>
                      <w:bCs/>
                      <w:szCs w:val="21"/>
                    </w:rPr>
                  </w:pPr>
                  <w:r>
                    <w:rPr>
                      <w:b/>
                      <w:bCs/>
                      <w:szCs w:val="21"/>
                    </w:rPr>
                    <w:t>距离项目区距离</w:t>
                  </w:r>
                </w:p>
              </w:tc>
              <w:tc>
                <w:tcPr>
                  <w:tcW w:w="1605" w:type="pct"/>
                  <w:vAlign w:val="center"/>
                </w:tcPr>
                <w:p>
                  <w:pPr>
                    <w:jc w:val="center"/>
                    <w:rPr>
                      <w:b/>
                      <w:bCs/>
                      <w:szCs w:val="21"/>
                    </w:rPr>
                  </w:pPr>
                  <w:r>
                    <w:rPr>
                      <w:b/>
                      <w:bCs/>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501" w:type="pct"/>
                  <w:vAlign w:val="center"/>
                </w:tcPr>
                <w:p>
                  <w:pPr>
                    <w:ind w:right="-80" w:rightChars="-38"/>
                    <w:jc w:val="center"/>
                    <w:rPr>
                      <w:szCs w:val="21"/>
                    </w:rPr>
                  </w:pPr>
                  <w:r>
                    <w:rPr>
                      <w:szCs w:val="21"/>
                    </w:rPr>
                    <w:t>声环境</w:t>
                  </w:r>
                </w:p>
              </w:tc>
              <w:tc>
                <w:tcPr>
                  <w:tcW w:w="786" w:type="pct"/>
                  <w:vAlign w:val="center"/>
                </w:tcPr>
                <w:p>
                  <w:pPr>
                    <w:ind w:right="-80" w:rightChars="-38"/>
                    <w:jc w:val="center"/>
                    <w:rPr>
                      <w:szCs w:val="21"/>
                    </w:rPr>
                  </w:pPr>
                  <w:r>
                    <w:rPr>
                      <w:szCs w:val="21"/>
                    </w:rPr>
                    <w:t>厂界</w:t>
                  </w:r>
                </w:p>
              </w:tc>
              <w:tc>
                <w:tcPr>
                  <w:tcW w:w="2106" w:type="pct"/>
                  <w:gridSpan w:val="3"/>
                  <w:vAlign w:val="center"/>
                </w:tcPr>
                <w:p>
                  <w:pPr>
                    <w:ind w:right="-80" w:rightChars="-38"/>
                    <w:jc w:val="center"/>
                    <w:rPr>
                      <w:szCs w:val="21"/>
                    </w:rPr>
                  </w:pPr>
                  <w:r>
                    <w:rPr>
                      <w:szCs w:val="21"/>
                    </w:rPr>
                    <w:t>厂界外</w:t>
                  </w:r>
                  <w:r>
                    <w:rPr>
                      <w:rFonts w:hint="eastAsia"/>
                      <w:szCs w:val="21"/>
                    </w:rPr>
                    <w:t>5</w:t>
                  </w:r>
                  <w:r>
                    <w:rPr>
                      <w:szCs w:val="21"/>
                    </w:rPr>
                    <w:t>0m无环境敏感目标</w:t>
                  </w:r>
                </w:p>
              </w:tc>
              <w:tc>
                <w:tcPr>
                  <w:tcW w:w="1605" w:type="pct"/>
                  <w:vAlign w:val="center"/>
                </w:tcPr>
                <w:p>
                  <w:pPr>
                    <w:ind w:right="-80" w:rightChars="-38"/>
                    <w:jc w:val="center"/>
                    <w:rPr>
                      <w:szCs w:val="21"/>
                    </w:rPr>
                  </w:pPr>
                  <w:r>
                    <w:rPr>
                      <w:szCs w:val="21"/>
                    </w:rPr>
                    <w:t>《声环境质量标准》（GB3096-2008）3类标准</w:t>
                  </w:r>
                </w:p>
              </w:tc>
            </w:tr>
          </w:tbl>
          <w:p>
            <w:pPr>
              <w:spacing w:before="120" w:beforeLines="50" w:line="360" w:lineRule="auto"/>
              <w:jc w:val="center"/>
              <w:rPr>
                <w:b/>
                <w:bCs/>
                <w:color w:val="000000"/>
                <w:sz w:val="24"/>
                <w:szCs w:val="21"/>
              </w:rPr>
            </w:pPr>
            <w:r>
              <w:rPr>
                <w:b/>
                <w:bCs/>
                <w:color w:val="000000"/>
                <w:sz w:val="24"/>
                <w:szCs w:val="21"/>
              </w:rPr>
              <w:t>表</w:t>
            </w:r>
            <w:r>
              <w:rPr>
                <w:rFonts w:hint="eastAsia"/>
                <w:b/>
                <w:bCs/>
                <w:color w:val="000000"/>
                <w:sz w:val="24"/>
                <w:szCs w:val="21"/>
              </w:rPr>
              <w:t>3-7</w:t>
            </w:r>
            <w:r>
              <w:rPr>
                <w:b/>
                <w:bCs/>
                <w:color w:val="000000"/>
                <w:sz w:val="24"/>
                <w:szCs w:val="21"/>
              </w:rPr>
              <w:t xml:space="preserve">  </w:t>
            </w:r>
            <w:r>
              <w:rPr>
                <w:rFonts w:hint="eastAsia"/>
                <w:b/>
                <w:bCs/>
                <w:color w:val="000000"/>
                <w:sz w:val="24"/>
                <w:szCs w:val="21"/>
              </w:rPr>
              <w:t>地表</w:t>
            </w:r>
            <w:r>
              <w:rPr>
                <w:b/>
                <w:bCs/>
                <w:color w:val="000000"/>
                <w:sz w:val="24"/>
                <w:szCs w:val="21"/>
              </w:rPr>
              <w:t>水环境保护目标</w:t>
            </w:r>
          </w:p>
          <w:tbl>
            <w:tblPr>
              <w:tblStyle w:val="22"/>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732"/>
              <w:gridCol w:w="703"/>
              <w:gridCol w:w="717"/>
              <w:gridCol w:w="773"/>
              <w:gridCol w:w="464"/>
              <w:gridCol w:w="647"/>
              <w:gridCol w:w="745"/>
              <w:gridCol w:w="717"/>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vMerge w:val="restart"/>
                  <w:vAlign w:val="center"/>
                </w:tcPr>
                <w:p>
                  <w:pPr>
                    <w:spacing w:line="320" w:lineRule="exact"/>
                    <w:jc w:val="center"/>
                    <w:rPr>
                      <w:b/>
                      <w:szCs w:val="21"/>
                    </w:rPr>
                  </w:pPr>
                  <w:r>
                    <w:rPr>
                      <w:rFonts w:hAnsi="Calibri"/>
                      <w:b/>
                      <w:szCs w:val="21"/>
                    </w:rPr>
                    <w:t>保护对象</w:t>
                  </w:r>
                </w:p>
              </w:tc>
              <w:tc>
                <w:tcPr>
                  <w:tcW w:w="765" w:type="dxa"/>
                  <w:vMerge w:val="restart"/>
                  <w:vAlign w:val="center"/>
                </w:tcPr>
                <w:p>
                  <w:pPr>
                    <w:spacing w:line="320" w:lineRule="exact"/>
                    <w:jc w:val="center"/>
                    <w:rPr>
                      <w:b/>
                      <w:szCs w:val="21"/>
                    </w:rPr>
                  </w:pPr>
                  <w:r>
                    <w:rPr>
                      <w:rFonts w:hAnsi="Calibri"/>
                      <w:b/>
                      <w:szCs w:val="21"/>
                    </w:rPr>
                    <w:t>保护内容</w:t>
                  </w:r>
                </w:p>
              </w:tc>
              <w:tc>
                <w:tcPr>
                  <w:tcW w:w="2775" w:type="dxa"/>
                  <w:gridSpan w:val="4"/>
                  <w:tcBorders>
                    <w:left w:val="single" w:color="auto" w:sz="2" w:space="0"/>
                  </w:tcBorders>
                  <w:vAlign w:val="center"/>
                </w:tcPr>
                <w:p>
                  <w:pPr>
                    <w:spacing w:line="320" w:lineRule="exact"/>
                    <w:jc w:val="center"/>
                    <w:rPr>
                      <w:b/>
                      <w:szCs w:val="21"/>
                    </w:rPr>
                  </w:pPr>
                  <w:r>
                    <w:rPr>
                      <w:rFonts w:hAnsi="Calibri"/>
                      <w:b/>
                      <w:szCs w:val="21"/>
                    </w:rPr>
                    <w:t>相对厂界</w:t>
                  </w:r>
                  <w:r>
                    <w:rPr>
                      <w:b/>
                      <w:szCs w:val="21"/>
                    </w:rPr>
                    <w:t>m</w:t>
                  </w:r>
                </w:p>
              </w:tc>
              <w:tc>
                <w:tcPr>
                  <w:tcW w:w="2205" w:type="dxa"/>
                  <w:gridSpan w:val="3"/>
                  <w:tcBorders>
                    <w:right w:val="single" w:color="auto" w:sz="2" w:space="0"/>
                  </w:tcBorders>
                  <w:vAlign w:val="center"/>
                </w:tcPr>
                <w:p>
                  <w:pPr>
                    <w:spacing w:line="320" w:lineRule="exact"/>
                    <w:jc w:val="center"/>
                    <w:rPr>
                      <w:b/>
                      <w:szCs w:val="21"/>
                    </w:rPr>
                  </w:pPr>
                  <w:r>
                    <w:rPr>
                      <w:rFonts w:hAnsi="Calibri"/>
                      <w:b/>
                      <w:szCs w:val="21"/>
                    </w:rPr>
                    <w:t>相对排放口</w:t>
                  </w:r>
                  <w:r>
                    <w:rPr>
                      <w:b/>
                      <w:szCs w:val="21"/>
                    </w:rPr>
                    <w:t>m</w:t>
                  </w:r>
                </w:p>
              </w:tc>
              <w:tc>
                <w:tcPr>
                  <w:tcW w:w="1494" w:type="dxa"/>
                  <w:vMerge w:val="restart"/>
                  <w:tcBorders>
                    <w:left w:val="single" w:color="auto" w:sz="2" w:space="0"/>
                  </w:tcBorders>
                  <w:vAlign w:val="center"/>
                </w:tcPr>
                <w:p>
                  <w:pPr>
                    <w:spacing w:line="320" w:lineRule="exact"/>
                    <w:jc w:val="center"/>
                    <w:rPr>
                      <w:b/>
                      <w:szCs w:val="21"/>
                    </w:rPr>
                  </w:pPr>
                  <w:r>
                    <w:rPr>
                      <w:rFonts w:hAnsi="Calibri"/>
                      <w:b/>
                      <w:szCs w:val="21"/>
                    </w:rPr>
                    <w:t>与本项目的水利联系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vMerge w:val="continue"/>
                  <w:vAlign w:val="center"/>
                </w:tcPr>
                <w:p>
                  <w:pPr>
                    <w:spacing w:line="320" w:lineRule="exact"/>
                    <w:jc w:val="center"/>
                    <w:rPr>
                      <w:szCs w:val="21"/>
                    </w:rPr>
                  </w:pPr>
                </w:p>
              </w:tc>
              <w:tc>
                <w:tcPr>
                  <w:tcW w:w="765" w:type="dxa"/>
                  <w:vMerge w:val="continue"/>
                  <w:vAlign w:val="center"/>
                </w:tcPr>
                <w:p>
                  <w:pPr>
                    <w:spacing w:line="320" w:lineRule="exact"/>
                    <w:jc w:val="center"/>
                    <w:rPr>
                      <w:szCs w:val="21"/>
                    </w:rPr>
                  </w:pPr>
                </w:p>
              </w:tc>
              <w:tc>
                <w:tcPr>
                  <w:tcW w:w="735" w:type="dxa"/>
                  <w:vMerge w:val="restart"/>
                  <w:tcBorders>
                    <w:top w:val="single" w:color="auto" w:sz="2" w:space="0"/>
                    <w:left w:val="single" w:color="auto" w:sz="2" w:space="0"/>
                    <w:right w:val="single" w:color="auto" w:sz="2" w:space="0"/>
                  </w:tcBorders>
                  <w:vAlign w:val="center"/>
                </w:tcPr>
                <w:p>
                  <w:pPr>
                    <w:spacing w:line="320" w:lineRule="exact"/>
                    <w:jc w:val="center"/>
                    <w:rPr>
                      <w:b/>
                      <w:szCs w:val="21"/>
                    </w:rPr>
                  </w:pPr>
                  <w:r>
                    <w:rPr>
                      <w:rFonts w:hAnsi="Calibri"/>
                      <w:b/>
                      <w:szCs w:val="21"/>
                    </w:rPr>
                    <w:t>距离</w:t>
                  </w:r>
                </w:p>
              </w:tc>
              <w:tc>
                <w:tcPr>
                  <w:tcW w:w="1560"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jc w:val="center"/>
                    <w:rPr>
                      <w:b/>
                      <w:szCs w:val="21"/>
                    </w:rPr>
                  </w:pPr>
                  <w:r>
                    <w:rPr>
                      <w:rFonts w:hAnsi="Calibri"/>
                      <w:b/>
                      <w:szCs w:val="21"/>
                    </w:rPr>
                    <w:t>坐标</w:t>
                  </w:r>
                </w:p>
              </w:tc>
              <w:tc>
                <w:tcPr>
                  <w:tcW w:w="480" w:type="dxa"/>
                  <w:vMerge w:val="restart"/>
                  <w:tcBorders>
                    <w:top w:val="single" w:color="auto" w:sz="2" w:space="0"/>
                    <w:left w:val="single" w:color="auto" w:sz="2" w:space="0"/>
                  </w:tcBorders>
                  <w:vAlign w:val="center"/>
                </w:tcPr>
                <w:p>
                  <w:pPr>
                    <w:spacing w:line="320" w:lineRule="exact"/>
                    <w:jc w:val="center"/>
                    <w:rPr>
                      <w:b/>
                      <w:szCs w:val="21"/>
                    </w:rPr>
                  </w:pPr>
                  <w:r>
                    <w:rPr>
                      <w:rFonts w:hAnsi="Calibri"/>
                      <w:b/>
                      <w:szCs w:val="21"/>
                    </w:rPr>
                    <w:t>高差</w:t>
                  </w:r>
                </w:p>
              </w:tc>
              <w:tc>
                <w:tcPr>
                  <w:tcW w:w="675" w:type="dxa"/>
                  <w:vMerge w:val="restart"/>
                  <w:tcBorders>
                    <w:top w:val="single" w:color="auto" w:sz="2" w:space="0"/>
                    <w:right w:val="single" w:color="auto" w:sz="2" w:space="0"/>
                  </w:tcBorders>
                  <w:vAlign w:val="center"/>
                </w:tcPr>
                <w:p>
                  <w:pPr>
                    <w:spacing w:line="320" w:lineRule="exact"/>
                    <w:jc w:val="center"/>
                    <w:rPr>
                      <w:b/>
                      <w:szCs w:val="21"/>
                    </w:rPr>
                  </w:pPr>
                  <w:r>
                    <w:rPr>
                      <w:rFonts w:hAnsi="Calibri"/>
                      <w:b/>
                      <w:szCs w:val="21"/>
                    </w:rPr>
                    <w:t>距离</w:t>
                  </w:r>
                </w:p>
              </w:tc>
              <w:tc>
                <w:tcPr>
                  <w:tcW w:w="1530"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jc w:val="center"/>
                    <w:rPr>
                      <w:b/>
                      <w:szCs w:val="21"/>
                    </w:rPr>
                  </w:pPr>
                  <w:r>
                    <w:rPr>
                      <w:rFonts w:hAnsi="Calibri"/>
                      <w:b/>
                      <w:szCs w:val="21"/>
                    </w:rPr>
                    <w:t>坐标</w:t>
                  </w:r>
                </w:p>
              </w:tc>
              <w:tc>
                <w:tcPr>
                  <w:tcW w:w="1494" w:type="dxa"/>
                  <w:vMerge w:val="continue"/>
                  <w:tcBorders>
                    <w:left w:val="single" w:color="auto" w:sz="2" w:space="0"/>
                  </w:tcBorders>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vMerge w:val="continue"/>
                  <w:tcBorders>
                    <w:bottom w:val="single" w:color="auto" w:sz="4" w:space="0"/>
                  </w:tcBorders>
                  <w:vAlign w:val="center"/>
                </w:tcPr>
                <w:p>
                  <w:pPr>
                    <w:spacing w:line="320" w:lineRule="exact"/>
                    <w:jc w:val="center"/>
                    <w:rPr>
                      <w:szCs w:val="21"/>
                    </w:rPr>
                  </w:pPr>
                </w:p>
              </w:tc>
              <w:tc>
                <w:tcPr>
                  <w:tcW w:w="765" w:type="dxa"/>
                  <w:vMerge w:val="continue"/>
                  <w:tcBorders>
                    <w:bottom w:val="single" w:color="auto" w:sz="4" w:space="0"/>
                  </w:tcBorders>
                  <w:vAlign w:val="center"/>
                </w:tcPr>
                <w:p>
                  <w:pPr>
                    <w:spacing w:line="320" w:lineRule="exact"/>
                    <w:jc w:val="center"/>
                    <w:rPr>
                      <w:szCs w:val="21"/>
                    </w:rPr>
                  </w:pPr>
                </w:p>
              </w:tc>
              <w:tc>
                <w:tcPr>
                  <w:tcW w:w="735" w:type="dxa"/>
                  <w:vMerge w:val="continue"/>
                  <w:tcBorders>
                    <w:left w:val="single" w:color="auto" w:sz="2" w:space="0"/>
                    <w:bottom w:val="single" w:color="auto" w:sz="4" w:space="0"/>
                    <w:right w:val="single" w:color="auto" w:sz="2" w:space="0"/>
                  </w:tcBorders>
                  <w:vAlign w:val="center"/>
                </w:tcPr>
                <w:p>
                  <w:pPr>
                    <w:spacing w:line="320" w:lineRule="exact"/>
                    <w:jc w:val="center"/>
                    <w:rPr>
                      <w:b/>
                      <w:szCs w:val="21"/>
                    </w:rPr>
                  </w:pPr>
                </w:p>
              </w:tc>
              <w:tc>
                <w:tcPr>
                  <w:tcW w:w="750" w:type="dxa"/>
                  <w:tcBorders>
                    <w:top w:val="single" w:color="auto" w:sz="2" w:space="0"/>
                    <w:left w:val="single" w:color="auto" w:sz="2" w:space="0"/>
                    <w:bottom w:val="single" w:color="auto" w:sz="4" w:space="0"/>
                    <w:right w:val="single" w:color="auto" w:sz="2" w:space="0"/>
                  </w:tcBorders>
                  <w:vAlign w:val="center"/>
                </w:tcPr>
                <w:p>
                  <w:pPr>
                    <w:spacing w:line="320" w:lineRule="exact"/>
                    <w:jc w:val="center"/>
                    <w:rPr>
                      <w:b/>
                      <w:szCs w:val="21"/>
                    </w:rPr>
                  </w:pPr>
                  <w:r>
                    <w:rPr>
                      <w:b/>
                      <w:szCs w:val="21"/>
                    </w:rPr>
                    <w:t>X</w:t>
                  </w:r>
                </w:p>
              </w:tc>
              <w:tc>
                <w:tcPr>
                  <w:tcW w:w="810" w:type="dxa"/>
                  <w:tcBorders>
                    <w:top w:val="single" w:color="auto" w:sz="2" w:space="0"/>
                    <w:left w:val="single" w:color="auto" w:sz="2" w:space="0"/>
                    <w:bottom w:val="single" w:color="auto" w:sz="4" w:space="0"/>
                    <w:right w:val="single" w:color="auto" w:sz="2" w:space="0"/>
                  </w:tcBorders>
                  <w:vAlign w:val="center"/>
                </w:tcPr>
                <w:p>
                  <w:pPr>
                    <w:spacing w:line="320" w:lineRule="exact"/>
                    <w:jc w:val="center"/>
                    <w:rPr>
                      <w:b/>
                      <w:szCs w:val="21"/>
                    </w:rPr>
                  </w:pPr>
                  <w:r>
                    <w:rPr>
                      <w:b/>
                      <w:szCs w:val="21"/>
                    </w:rPr>
                    <w:t>Y</w:t>
                  </w:r>
                </w:p>
              </w:tc>
              <w:tc>
                <w:tcPr>
                  <w:tcW w:w="480" w:type="dxa"/>
                  <w:vMerge w:val="continue"/>
                  <w:tcBorders>
                    <w:left w:val="single" w:color="auto" w:sz="2" w:space="0"/>
                    <w:bottom w:val="single" w:color="auto" w:sz="4" w:space="0"/>
                  </w:tcBorders>
                  <w:vAlign w:val="center"/>
                </w:tcPr>
                <w:p>
                  <w:pPr>
                    <w:spacing w:line="320" w:lineRule="exact"/>
                    <w:jc w:val="center"/>
                    <w:rPr>
                      <w:b/>
                      <w:szCs w:val="21"/>
                    </w:rPr>
                  </w:pPr>
                </w:p>
              </w:tc>
              <w:tc>
                <w:tcPr>
                  <w:tcW w:w="675" w:type="dxa"/>
                  <w:vMerge w:val="continue"/>
                  <w:tcBorders>
                    <w:bottom w:val="single" w:color="auto" w:sz="4" w:space="0"/>
                    <w:right w:val="single" w:color="auto" w:sz="2" w:space="0"/>
                  </w:tcBorders>
                  <w:vAlign w:val="center"/>
                </w:tcPr>
                <w:p>
                  <w:pPr>
                    <w:spacing w:line="320" w:lineRule="exact"/>
                    <w:jc w:val="center"/>
                    <w:rPr>
                      <w:b/>
                      <w:szCs w:val="21"/>
                    </w:rPr>
                  </w:pPr>
                </w:p>
              </w:tc>
              <w:tc>
                <w:tcPr>
                  <w:tcW w:w="780" w:type="dxa"/>
                  <w:tcBorders>
                    <w:top w:val="single" w:color="auto" w:sz="2" w:space="0"/>
                    <w:left w:val="single" w:color="auto" w:sz="2" w:space="0"/>
                    <w:bottom w:val="single" w:color="auto" w:sz="4" w:space="0"/>
                    <w:right w:val="single" w:color="auto" w:sz="2" w:space="0"/>
                  </w:tcBorders>
                  <w:vAlign w:val="center"/>
                </w:tcPr>
                <w:p>
                  <w:pPr>
                    <w:spacing w:line="320" w:lineRule="exact"/>
                    <w:jc w:val="center"/>
                    <w:rPr>
                      <w:b/>
                      <w:szCs w:val="21"/>
                    </w:rPr>
                  </w:pPr>
                  <w:r>
                    <w:rPr>
                      <w:b/>
                      <w:szCs w:val="21"/>
                    </w:rPr>
                    <w:t>X</w:t>
                  </w:r>
                </w:p>
              </w:tc>
              <w:tc>
                <w:tcPr>
                  <w:tcW w:w="750" w:type="dxa"/>
                  <w:tcBorders>
                    <w:top w:val="single" w:color="auto" w:sz="2" w:space="0"/>
                    <w:left w:val="single" w:color="auto" w:sz="2" w:space="0"/>
                    <w:bottom w:val="single" w:color="auto" w:sz="4" w:space="0"/>
                    <w:right w:val="single" w:color="auto" w:sz="2" w:space="0"/>
                  </w:tcBorders>
                  <w:vAlign w:val="center"/>
                </w:tcPr>
                <w:p>
                  <w:pPr>
                    <w:spacing w:line="320" w:lineRule="exact"/>
                    <w:jc w:val="center"/>
                    <w:rPr>
                      <w:b/>
                      <w:szCs w:val="21"/>
                    </w:rPr>
                  </w:pPr>
                  <w:r>
                    <w:rPr>
                      <w:b/>
                      <w:szCs w:val="21"/>
                    </w:rPr>
                    <w:t>Y</w:t>
                  </w:r>
                </w:p>
              </w:tc>
              <w:tc>
                <w:tcPr>
                  <w:tcW w:w="1494" w:type="dxa"/>
                  <w:vMerge w:val="continue"/>
                  <w:tcBorders>
                    <w:left w:val="single" w:color="auto" w:sz="2" w:space="0"/>
                    <w:bottom w:val="single" w:color="auto" w:sz="4" w:space="0"/>
                  </w:tcBorders>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vAlign w:val="center"/>
                </w:tcPr>
                <w:p>
                  <w:pPr>
                    <w:pStyle w:val="53"/>
                    <w:autoSpaceDE w:val="0"/>
                    <w:autoSpaceDN w:val="0"/>
                    <w:rPr>
                      <w:rFonts w:ascii="Times New Roman" w:hAnsi="Times New Roman"/>
                    </w:rPr>
                  </w:pPr>
                  <w:r>
                    <w:rPr>
                      <w:rFonts w:hint="eastAsia" w:ascii="Times New Roman" w:hAnsi="Times New Roman"/>
                    </w:rPr>
                    <w:t>清流河</w:t>
                  </w:r>
                </w:p>
              </w:tc>
              <w:tc>
                <w:tcPr>
                  <w:tcW w:w="765" w:type="dxa"/>
                  <w:vAlign w:val="center"/>
                </w:tcPr>
                <w:p>
                  <w:pPr>
                    <w:spacing w:line="320" w:lineRule="exact"/>
                    <w:jc w:val="center"/>
                    <w:rPr>
                      <w:szCs w:val="21"/>
                    </w:rPr>
                  </w:pPr>
                  <w:r>
                    <w:rPr>
                      <w:rFonts w:hAnsi="Calibri"/>
                      <w:szCs w:val="21"/>
                    </w:rPr>
                    <w:t>水质</w:t>
                  </w:r>
                </w:p>
              </w:tc>
              <w:tc>
                <w:tcPr>
                  <w:tcW w:w="735" w:type="dxa"/>
                  <w:tcBorders>
                    <w:left w:val="single" w:color="auto" w:sz="2" w:space="0"/>
                    <w:bottom w:val="single" w:color="auto" w:sz="2" w:space="0"/>
                    <w:right w:val="single" w:color="auto" w:sz="2" w:space="0"/>
                  </w:tcBorders>
                  <w:vAlign w:val="center"/>
                </w:tcPr>
                <w:p>
                  <w:pPr>
                    <w:spacing w:line="320" w:lineRule="exact"/>
                    <w:jc w:val="center"/>
                    <w:rPr>
                      <w:szCs w:val="21"/>
                    </w:rPr>
                  </w:pPr>
                  <w:r>
                    <w:rPr>
                      <w:rFonts w:hint="eastAsia"/>
                      <w:szCs w:val="21"/>
                    </w:rPr>
                    <w:t>2240</w:t>
                  </w:r>
                </w:p>
              </w:tc>
              <w:tc>
                <w:tcPr>
                  <w:tcW w:w="750" w:type="dxa"/>
                  <w:tcBorders>
                    <w:left w:val="single" w:color="auto" w:sz="2" w:space="0"/>
                    <w:bottom w:val="single" w:color="auto" w:sz="2" w:space="0"/>
                    <w:right w:val="single" w:color="auto" w:sz="2" w:space="0"/>
                  </w:tcBorders>
                  <w:vAlign w:val="center"/>
                </w:tcPr>
                <w:p>
                  <w:pPr>
                    <w:spacing w:line="320" w:lineRule="exact"/>
                    <w:jc w:val="center"/>
                    <w:rPr>
                      <w:szCs w:val="21"/>
                    </w:rPr>
                  </w:pPr>
                  <w:r>
                    <w:rPr>
                      <w:rFonts w:hint="eastAsia"/>
                      <w:szCs w:val="21"/>
                    </w:rPr>
                    <w:t>0</w:t>
                  </w:r>
                </w:p>
              </w:tc>
              <w:tc>
                <w:tcPr>
                  <w:tcW w:w="810" w:type="dxa"/>
                  <w:tcBorders>
                    <w:left w:val="single" w:color="auto" w:sz="2" w:space="0"/>
                    <w:bottom w:val="single" w:color="auto" w:sz="2" w:space="0"/>
                    <w:right w:val="single" w:color="auto" w:sz="2" w:space="0"/>
                  </w:tcBorders>
                  <w:vAlign w:val="center"/>
                </w:tcPr>
                <w:p>
                  <w:pPr>
                    <w:spacing w:line="320" w:lineRule="exact"/>
                    <w:jc w:val="center"/>
                    <w:rPr>
                      <w:szCs w:val="21"/>
                    </w:rPr>
                  </w:pPr>
                  <w:r>
                    <w:rPr>
                      <w:rFonts w:hint="eastAsia"/>
                      <w:szCs w:val="21"/>
                    </w:rPr>
                    <w:t>-2240</w:t>
                  </w:r>
                </w:p>
              </w:tc>
              <w:tc>
                <w:tcPr>
                  <w:tcW w:w="480" w:type="dxa"/>
                  <w:tcBorders>
                    <w:left w:val="single" w:color="auto" w:sz="2" w:space="0"/>
                    <w:bottom w:val="single" w:color="auto" w:sz="2" w:space="0"/>
                  </w:tcBorders>
                  <w:vAlign w:val="center"/>
                </w:tcPr>
                <w:p>
                  <w:pPr>
                    <w:spacing w:line="320" w:lineRule="exact"/>
                    <w:jc w:val="center"/>
                    <w:rPr>
                      <w:szCs w:val="21"/>
                    </w:rPr>
                  </w:pPr>
                  <w:r>
                    <w:rPr>
                      <w:szCs w:val="21"/>
                    </w:rPr>
                    <w:t>-</w:t>
                  </w:r>
                  <w:r>
                    <w:rPr>
                      <w:rFonts w:hint="eastAsia"/>
                      <w:szCs w:val="21"/>
                    </w:rPr>
                    <w:t>6</w:t>
                  </w:r>
                </w:p>
              </w:tc>
              <w:tc>
                <w:tcPr>
                  <w:tcW w:w="675" w:type="dxa"/>
                  <w:tcBorders>
                    <w:right w:val="single" w:color="auto" w:sz="2" w:space="0"/>
                  </w:tcBorders>
                  <w:vAlign w:val="center"/>
                </w:tcPr>
                <w:p>
                  <w:pPr>
                    <w:spacing w:line="320" w:lineRule="exact"/>
                    <w:jc w:val="center"/>
                    <w:rPr>
                      <w:szCs w:val="21"/>
                    </w:rPr>
                  </w:pPr>
                  <w:r>
                    <w:rPr>
                      <w:rFonts w:hint="eastAsia"/>
                      <w:szCs w:val="21"/>
                    </w:rPr>
                    <w:t>2530</w:t>
                  </w:r>
                </w:p>
              </w:tc>
              <w:tc>
                <w:tcPr>
                  <w:tcW w:w="780" w:type="dxa"/>
                  <w:tcBorders>
                    <w:left w:val="single" w:color="auto" w:sz="2" w:space="0"/>
                    <w:right w:val="single" w:color="auto" w:sz="2" w:space="0"/>
                  </w:tcBorders>
                  <w:vAlign w:val="center"/>
                </w:tcPr>
                <w:p>
                  <w:pPr>
                    <w:spacing w:line="320" w:lineRule="exact"/>
                    <w:jc w:val="center"/>
                    <w:rPr>
                      <w:szCs w:val="21"/>
                    </w:rPr>
                  </w:pPr>
                  <w:r>
                    <w:rPr>
                      <w:rFonts w:hint="eastAsia"/>
                      <w:szCs w:val="21"/>
                    </w:rPr>
                    <w:t>0</w:t>
                  </w:r>
                </w:p>
              </w:tc>
              <w:tc>
                <w:tcPr>
                  <w:tcW w:w="750" w:type="dxa"/>
                  <w:tcBorders>
                    <w:left w:val="single" w:color="auto" w:sz="2" w:space="0"/>
                    <w:right w:val="single" w:color="auto" w:sz="2" w:space="0"/>
                  </w:tcBorders>
                  <w:vAlign w:val="center"/>
                </w:tcPr>
                <w:p>
                  <w:pPr>
                    <w:spacing w:line="320" w:lineRule="exact"/>
                    <w:jc w:val="center"/>
                    <w:rPr>
                      <w:szCs w:val="21"/>
                    </w:rPr>
                  </w:pPr>
                  <w:r>
                    <w:rPr>
                      <w:rFonts w:hint="eastAsia"/>
                      <w:szCs w:val="21"/>
                    </w:rPr>
                    <w:t>-2530</w:t>
                  </w:r>
                </w:p>
              </w:tc>
              <w:tc>
                <w:tcPr>
                  <w:tcW w:w="1494" w:type="dxa"/>
                  <w:tcBorders>
                    <w:left w:val="single" w:color="auto" w:sz="2" w:space="0"/>
                  </w:tcBorders>
                  <w:vAlign w:val="center"/>
                </w:tcPr>
                <w:p>
                  <w:pPr>
                    <w:spacing w:line="320" w:lineRule="exact"/>
                    <w:jc w:val="center"/>
                    <w:rPr>
                      <w:szCs w:val="21"/>
                    </w:rPr>
                  </w:pPr>
                  <w:r>
                    <w:rPr>
                      <w:rFonts w:hAnsi="Calibri"/>
                      <w:szCs w:val="21"/>
                    </w:rPr>
                    <w:t>有，纳污水体</w:t>
                  </w:r>
                </w:p>
              </w:tc>
            </w:tr>
          </w:tbl>
          <w:p>
            <w:pPr>
              <w:snapToGrid w:val="0"/>
              <w:spacing w:before="120" w:beforeLines="50" w:line="360" w:lineRule="auto"/>
              <w:ind w:firstLine="2571" w:firstLineChars="1067"/>
              <w:rPr>
                <w:b/>
                <w:bCs/>
                <w:sz w:val="24"/>
              </w:rPr>
            </w:pPr>
            <w:r>
              <w:rPr>
                <w:b/>
                <w:bCs/>
                <w:sz w:val="24"/>
              </w:rPr>
              <w:t>表3-</w:t>
            </w:r>
            <w:r>
              <w:rPr>
                <w:rFonts w:hint="eastAsia"/>
                <w:b/>
                <w:bCs/>
                <w:sz w:val="24"/>
              </w:rPr>
              <w:t>8</w:t>
            </w:r>
            <w:r>
              <w:rPr>
                <w:b/>
                <w:bCs/>
                <w:sz w:val="24"/>
              </w:rPr>
              <w:t xml:space="preserve">  地下水环境保护目标表</w:t>
            </w:r>
          </w:p>
          <w:tbl>
            <w:tblPr>
              <w:tblStyle w:val="22"/>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6"/>
              <w:gridCol w:w="1984"/>
              <w:gridCol w:w="1158"/>
              <w:gridCol w:w="661"/>
              <w:gridCol w:w="909"/>
              <w:gridCol w:w="827"/>
              <w:gridCol w:w="20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39" w:type="pct"/>
                  <w:vAlign w:val="center"/>
                </w:tcPr>
                <w:p>
                  <w:pPr>
                    <w:adjustRightInd w:val="0"/>
                    <w:snapToGrid w:val="0"/>
                    <w:jc w:val="center"/>
                    <w:rPr>
                      <w:b/>
                      <w:szCs w:val="21"/>
                    </w:rPr>
                  </w:pPr>
                  <w:r>
                    <w:rPr>
                      <w:b/>
                      <w:szCs w:val="21"/>
                    </w:rPr>
                    <w:t>环境要素</w:t>
                  </w:r>
                </w:p>
              </w:tc>
              <w:tc>
                <w:tcPr>
                  <w:tcW w:w="1200" w:type="pct"/>
                  <w:vAlign w:val="center"/>
                </w:tcPr>
                <w:p>
                  <w:pPr>
                    <w:adjustRightInd w:val="0"/>
                    <w:snapToGrid w:val="0"/>
                    <w:jc w:val="center"/>
                    <w:rPr>
                      <w:b/>
                      <w:szCs w:val="21"/>
                    </w:rPr>
                  </w:pPr>
                  <w:r>
                    <w:rPr>
                      <w:b/>
                      <w:szCs w:val="21"/>
                    </w:rPr>
                    <w:t>环境保护对象名称</w:t>
                  </w:r>
                </w:p>
              </w:tc>
              <w:tc>
                <w:tcPr>
                  <w:tcW w:w="700" w:type="pct"/>
                  <w:vAlign w:val="center"/>
                </w:tcPr>
                <w:p>
                  <w:pPr>
                    <w:adjustRightInd w:val="0"/>
                    <w:snapToGrid w:val="0"/>
                    <w:jc w:val="center"/>
                    <w:rPr>
                      <w:b/>
                      <w:szCs w:val="21"/>
                    </w:rPr>
                  </w:pPr>
                  <w:r>
                    <w:rPr>
                      <w:b/>
                      <w:szCs w:val="21"/>
                    </w:rPr>
                    <w:t>相对拟建项目方位</w:t>
                  </w:r>
                </w:p>
              </w:tc>
              <w:tc>
                <w:tcPr>
                  <w:tcW w:w="400" w:type="pct"/>
                  <w:vAlign w:val="center"/>
                </w:tcPr>
                <w:p>
                  <w:pPr>
                    <w:adjustRightInd w:val="0"/>
                    <w:snapToGrid w:val="0"/>
                    <w:jc w:val="center"/>
                    <w:rPr>
                      <w:b/>
                      <w:szCs w:val="21"/>
                    </w:rPr>
                  </w:pPr>
                  <w:r>
                    <w:rPr>
                      <w:b/>
                      <w:szCs w:val="21"/>
                    </w:rPr>
                    <w:t>距离m</w:t>
                  </w:r>
                </w:p>
              </w:tc>
              <w:tc>
                <w:tcPr>
                  <w:tcW w:w="550" w:type="pct"/>
                  <w:vAlign w:val="center"/>
                </w:tcPr>
                <w:p>
                  <w:pPr>
                    <w:adjustRightInd w:val="0"/>
                    <w:snapToGrid w:val="0"/>
                    <w:jc w:val="center"/>
                    <w:rPr>
                      <w:b/>
                      <w:szCs w:val="21"/>
                    </w:rPr>
                  </w:pPr>
                  <w:r>
                    <w:rPr>
                      <w:b/>
                      <w:szCs w:val="21"/>
                    </w:rPr>
                    <w:t>规模</w:t>
                  </w:r>
                </w:p>
              </w:tc>
              <w:tc>
                <w:tcPr>
                  <w:tcW w:w="500" w:type="pct"/>
                  <w:vAlign w:val="center"/>
                </w:tcPr>
                <w:p>
                  <w:pPr>
                    <w:adjustRightInd w:val="0"/>
                    <w:snapToGrid w:val="0"/>
                    <w:jc w:val="center"/>
                    <w:rPr>
                      <w:b/>
                      <w:szCs w:val="21"/>
                    </w:rPr>
                  </w:pPr>
                  <w:r>
                    <w:rPr>
                      <w:b/>
                      <w:szCs w:val="21"/>
                    </w:rPr>
                    <w:t>环境功能</w:t>
                  </w:r>
                </w:p>
              </w:tc>
              <w:tc>
                <w:tcPr>
                  <w:tcW w:w="1211" w:type="pct"/>
                  <w:vAlign w:val="center"/>
                </w:tcPr>
                <w:p>
                  <w:pPr>
                    <w:adjustRightInd w:val="0"/>
                    <w:snapToGrid w:val="0"/>
                    <w:jc w:val="center"/>
                    <w:rPr>
                      <w:b/>
                      <w:szCs w:val="21"/>
                    </w:rPr>
                  </w:pPr>
                  <w:r>
                    <w:rPr>
                      <w:b/>
                      <w:szCs w:val="21"/>
                    </w:rPr>
                    <w:t>环境质量标准</w:t>
                  </w:r>
                </w:p>
              </w:tc>
            </w:tr>
            <w:tr>
              <w:tblPrEx>
                <w:tblCellMar>
                  <w:top w:w="0" w:type="dxa"/>
                  <w:left w:w="108" w:type="dxa"/>
                  <w:bottom w:w="0" w:type="dxa"/>
                  <w:right w:w="108" w:type="dxa"/>
                </w:tblCellMar>
              </w:tblPrEx>
              <w:trPr>
                <w:trHeight w:val="20" w:hRule="atLeast"/>
                <w:jc w:val="center"/>
              </w:trPr>
              <w:tc>
                <w:tcPr>
                  <w:tcW w:w="439" w:type="pct"/>
                  <w:vAlign w:val="center"/>
                </w:tcPr>
                <w:p>
                  <w:pPr>
                    <w:adjustRightInd w:val="0"/>
                    <w:snapToGrid w:val="0"/>
                    <w:jc w:val="center"/>
                    <w:rPr>
                      <w:bCs/>
                      <w:szCs w:val="21"/>
                    </w:rPr>
                  </w:pPr>
                  <w:r>
                    <w:rPr>
                      <w:bCs/>
                      <w:szCs w:val="21"/>
                    </w:rPr>
                    <w:t>地下水环境</w:t>
                  </w:r>
                </w:p>
              </w:tc>
              <w:tc>
                <w:tcPr>
                  <w:tcW w:w="1200" w:type="pct"/>
                  <w:vAlign w:val="center"/>
                </w:tcPr>
                <w:p>
                  <w:pPr>
                    <w:adjustRightInd w:val="0"/>
                    <w:snapToGrid w:val="0"/>
                    <w:jc w:val="center"/>
                    <w:rPr>
                      <w:bCs/>
                      <w:szCs w:val="21"/>
                    </w:rPr>
                  </w:pPr>
                  <w:r>
                    <w:rPr>
                      <w:bCs/>
                      <w:szCs w:val="21"/>
                    </w:rPr>
                    <w:t>厂区及厂界500m范围地下水潜水含水层</w:t>
                  </w:r>
                </w:p>
              </w:tc>
              <w:tc>
                <w:tcPr>
                  <w:tcW w:w="700" w:type="pct"/>
                  <w:vAlign w:val="center"/>
                </w:tcPr>
                <w:p>
                  <w:pPr>
                    <w:adjustRightInd w:val="0"/>
                    <w:snapToGrid w:val="0"/>
                    <w:jc w:val="center"/>
                    <w:rPr>
                      <w:bCs/>
                      <w:szCs w:val="21"/>
                    </w:rPr>
                  </w:pPr>
                  <w:r>
                    <w:rPr>
                      <w:bCs/>
                      <w:szCs w:val="21"/>
                    </w:rPr>
                    <w:t>—</w:t>
                  </w:r>
                </w:p>
              </w:tc>
              <w:tc>
                <w:tcPr>
                  <w:tcW w:w="400" w:type="pct"/>
                  <w:vAlign w:val="center"/>
                </w:tcPr>
                <w:p>
                  <w:pPr>
                    <w:adjustRightInd w:val="0"/>
                    <w:snapToGrid w:val="0"/>
                    <w:jc w:val="center"/>
                    <w:rPr>
                      <w:bCs/>
                      <w:szCs w:val="21"/>
                    </w:rPr>
                  </w:pPr>
                  <w:r>
                    <w:rPr>
                      <w:bCs/>
                      <w:szCs w:val="21"/>
                    </w:rPr>
                    <w:t>—</w:t>
                  </w:r>
                </w:p>
              </w:tc>
              <w:tc>
                <w:tcPr>
                  <w:tcW w:w="550" w:type="pct"/>
                  <w:vAlign w:val="center"/>
                </w:tcPr>
                <w:p>
                  <w:pPr>
                    <w:adjustRightInd w:val="0"/>
                    <w:snapToGrid w:val="0"/>
                    <w:jc w:val="center"/>
                    <w:rPr>
                      <w:bCs/>
                      <w:szCs w:val="21"/>
                    </w:rPr>
                  </w:pPr>
                  <w:r>
                    <w:rPr>
                      <w:bCs/>
                      <w:szCs w:val="21"/>
                    </w:rPr>
                    <w:t>—</w:t>
                  </w:r>
                </w:p>
              </w:tc>
              <w:tc>
                <w:tcPr>
                  <w:tcW w:w="500" w:type="pct"/>
                  <w:vAlign w:val="center"/>
                </w:tcPr>
                <w:p>
                  <w:pPr>
                    <w:adjustRightInd w:val="0"/>
                    <w:snapToGrid w:val="0"/>
                    <w:jc w:val="center"/>
                    <w:rPr>
                      <w:bCs/>
                      <w:szCs w:val="21"/>
                    </w:rPr>
                  </w:pPr>
                  <w:r>
                    <w:rPr>
                      <w:bCs/>
                      <w:szCs w:val="21"/>
                    </w:rPr>
                    <w:t>—</w:t>
                  </w:r>
                </w:p>
              </w:tc>
              <w:tc>
                <w:tcPr>
                  <w:tcW w:w="1211" w:type="pct"/>
                  <w:vAlign w:val="center"/>
                </w:tcPr>
                <w:p>
                  <w:pPr>
                    <w:adjustRightInd w:val="0"/>
                    <w:snapToGrid w:val="0"/>
                    <w:jc w:val="center"/>
                    <w:rPr>
                      <w:bCs/>
                      <w:szCs w:val="21"/>
                    </w:rPr>
                  </w:pPr>
                  <w:r>
                    <w:rPr>
                      <w:bCs/>
                      <w:szCs w:val="21"/>
                    </w:rPr>
                    <w:t>《地下水质量标准》（GB/T14848-2017）中标准</w:t>
                  </w:r>
                </w:p>
              </w:tc>
            </w:tr>
          </w:tbl>
          <w:p>
            <w:pPr>
              <w:snapToGrid w:val="0"/>
              <w:spacing w:before="120" w:beforeLines="50" w:line="360" w:lineRule="auto"/>
              <w:ind w:firstLine="561"/>
              <w:jc w:val="center"/>
              <w:rPr>
                <w:b/>
                <w:bCs/>
                <w:sz w:val="24"/>
              </w:rPr>
            </w:pPr>
            <w:r>
              <w:rPr>
                <w:b/>
                <w:bCs/>
                <w:sz w:val="24"/>
              </w:rPr>
              <w:t>表3-</w:t>
            </w:r>
            <w:r>
              <w:rPr>
                <w:rFonts w:hint="eastAsia"/>
                <w:b/>
                <w:bCs/>
                <w:sz w:val="24"/>
              </w:rPr>
              <w:t>9</w:t>
            </w:r>
            <w:r>
              <w:rPr>
                <w:b/>
                <w:bCs/>
                <w:sz w:val="24"/>
              </w:rPr>
              <w:t xml:space="preserve"> 生态环境保护目标表</w:t>
            </w:r>
          </w:p>
          <w:tbl>
            <w:tblPr>
              <w:tblStyle w:val="22"/>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7"/>
              <w:gridCol w:w="2476"/>
              <w:gridCol w:w="1233"/>
              <w:gridCol w:w="937"/>
              <w:gridCol w:w="1317"/>
              <w:gridCol w:w="14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0" w:hRule="atLeast"/>
                <w:jc w:val="center"/>
              </w:trPr>
              <w:tc>
                <w:tcPr>
                  <w:tcW w:w="542" w:type="pct"/>
                  <w:vAlign w:val="center"/>
                </w:tcPr>
                <w:p>
                  <w:pPr>
                    <w:adjustRightInd w:val="0"/>
                    <w:snapToGrid w:val="0"/>
                    <w:jc w:val="center"/>
                    <w:rPr>
                      <w:b/>
                      <w:szCs w:val="21"/>
                    </w:rPr>
                  </w:pPr>
                  <w:r>
                    <w:rPr>
                      <w:b/>
                      <w:szCs w:val="21"/>
                    </w:rPr>
                    <w:t>环境要素</w:t>
                  </w:r>
                </w:p>
              </w:tc>
              <w:tc>
                <w:tcPr>
                  <w:tcW w:w="1497" w:type="pct"/>
                  <w:vAlign w:val="center"/>
                </w:tcPr>
                <w:p>
                  <w:pPr>
                    <w:adjustRightInd w:val="0"/>
                    <w:snapToGrid w:val="0"/>
                    <w:jc w:val="center"/>
                    <w:rPr>
                      <w:b/>
                      <w:szCs w:val="21"/>
                    </w:rPr>
                  </w:pPr>
                  <w:r>
                    <w:rPr>
                      <w:b/>
                      <w:szCs w:val="21"/>
                    </w:rPr>
                    <w:t>环境保护对象名称</w:t>
                  </w:r>
                </w:p>
              </w:tc>
              <w:tc>
                <w:tcPr>
                  <w:tcW w:w="746" w:type="pct"/>
                  <w:vAlign w:val="center"/>
                </w:tcPr>
                <w:p>
                  <w:pPr>
                    <w:adjustRightInd w:val="0"/>
                    <w:snapToGrid w:val="0"/>
                    <w:jc w:val="center"/>
                    <w:rPr>
                      <w:b/>
                      <w:szCs w:val="21"/>
                    </w:rPr>
                  </w:pPr>
                  <w:r>
                    <w:rPr>
                      <w:b/>
                      <w:szCs w:val="21"/>
                    </w:rPr>
                    <w:t>相对拟建项目方位</w:t>
                  </w:r>
                </w:p>
              </w:tc>
              <w:tc>
                <w:tcPr>
                  <w:tcW w:w="567" w:type="pct"/>
                  <w:vAlign w:val="center"/>
                </w:tcPr>
                <w:p>
                  <w:pPr>
                    <w:adjustRightInd w:val="0"/>
                    <w:snapToGrid w:val="0"/>
                    <w:jc w:val="center"/>
                    <w:rPr>
                      <w:b/>
                      <w:szCs w:val="21"/>
                    </w:rPr>
                  </w:pPr>
                  <w:r>
                    <w:rPr>
                      <w:b/>
                      <w:szCs w:val="21"/>
                    </w:rPr>
                    <w:t>距离</w:t>
                  </w:r>
                </w:p>
              </w:tc>
              <w:tc>
                <w:tcPr>
                  <w:tcW w:w="797" w:type="pct"/>
                  <w:vAlign w:val="center"/>
                </w:tcPr>
                <w:p>
                  <w:pPr>
                    <w:adjustRightInd w:val="0"/>
                    <w:snapToGrid w:val="0"/>
                    <w:jc w:val="center"/>
                    <w:rPr>
                      <w:b/>
                      <w:szCs w:val="21"/>
                    </w:rPr>
                  </w:pPr>
                  <w:r>
                    <w:rPr>
                      <w:b/>
                      <w:szCs w:val="21"/>
                    </w:rPr>
                    <w:t>规模</w:t>
                  </w:r>
                </w:p>
              </w:tc>
              <w:tc>
                <w:tcPr>
                  <w:tcW w:w="848" w:type="pct"/>
                  <w:vAlign w:val="center"/>
                </w:tcPr>
                <w:p>
                  <w:pPr>
                    <w:adjustRightInd w:val="0"/>
                    <w:snapToGrid w:val="0"/>
                    <w:jc w:val="center"/>
                    <w:rPr>
                      <w:b/>
                      <w:szCs w:val="21"/>
                    </w:rPr>
                  </w:pPr>
                  <w:r>
                    <w:rPr>
                      <w:b/>
                      <w:szCs w:val="21"/>
                    </w:rPr>
                    <w:t>环境功能</w:t>
                  </w:r>
                </w:p>
              </w:tc>
            </w:tr>
            <w:tr>
              <w:tblPrEx>
                <w:tblCellMar>
                  <w:top w:w="0" w:type="dxa"/>
                  <w:left w:w="108" w:type="dxa"/>
                  <w:bottom w:w="0" w:type="dxa"/>
                  <w:right w:w="108" w:type="dxa"/>
                </w:tblCellMar>
              </w:tblPrEx>
              <w:trPr>
                <w:trHeight w:val="20" w:hRule="atLeast"/>
                <w:jc w:val="center"/>
              </w:trPr>
              <w:tc>
                <w:tcPr>
                  <w:tcW w:w="542" w:type="pct"/>
                  <w:vMerge w:val="restart"/>
                  <w:vAlign w:val="center"/>
                </w:tcPr>
                <w:p>
                  <w:pPr>
                    <w:adjustRightInd w:val="0"/>
                    <w:snapToGrid w:val="0"/>
                    <w:jc w:val="center"/>
                    <w:rPr>
                      <w:bCs/>
                      <w:szCs w:val="21"/>
                    </w:rPr>
                  </w:pPr>
                  <w:r>
                    <w:rPr>
                      <w:bCs/>
                      <w:szCs w:val="21"/>
                    </w:rPr>
                    <w:t>生态</w:t>
                  </w:r>
                </w:p>
                <w:p>
                  <w:pPr>
                    <w:adjustRightInd w:val="0"/>
                    <w:snapToGrid w:val="0"/>
                    <w:jc w:val="center"/>
                    <w:rPr>
                      <w:bCs/>
                      <w:szCs w:val="21"/>
                    </w:rPr>
                  </w:pPr>
                  <w:r>
                    <w:rPr>
                      <w:bCs/>
                      <w:szCs w:val="21"/>
                    </w:rPr>
                    <w:t>环境</w:t>
                  </w:r>
                </w:p>
              </w:tc>
              <w:tc>
                <w:tcPr>
                  <w:tcW w:w="1497" w:type="pct"/>
                  <w:vAlign w:val="center"/>
                </w:tcPr>
                <w:p>
                  <w:pPr>
                    <w:adjustRightInd w:val="0"/>
                    <w:snapToGrid w:val="0"/>
                    <w:jc w:val="center"/>
                    <w:rPr>
                      <w:bCs/>
                      <w:szCs w:val="21"/>
                    </w:rPr>
                  </w:pPr>
                  <w:r>
                    <w:rPr>
                      <w:rFonts w:hint="eastAsia"/>
                      <w:bCs/>
                      <w:szCs w:val="21"/>
                    </w:rPr>
                    <w:t>琅琊山风景名胜区</w:t>
                  </w:r>
                </w:p>
              </w:tc>
              <w:tc>
                <w:tcPr>
                  <w:tcW w:w="746" w:type="pct"/>
                  <w:vAlign w:val="center"/>
                </w:tcPr>
                <w:p>
                  <w:pPr>
                    <w:adjustRightInd w:val="0"/>
                    <w:snapToGrid w:val="0"/>
                    <w:jc w:val="center"/>
                    <w:rPr>
                      <w:bCs/>
                      <w:szCs w:val="21"/>
                    </w:rPr>
                  </w:pPr>
                  <w:r>
                    <w:rPr>
                      <w:rFonts w:hint="eastAsia"/>
                      <w:bCs/>
                      <w:szCs w:val="21"/>
                    </w:rPr>
                    <w:t>NW</w:t>
                  </w:r>
                </w:p>
              </w:tc>
              <w:tc>
                <w:tcPr>
                  <w:tcW w:w="567" w:type="pct"/>
                  <w:vAlign w:val="center"/>
                </w:tcPr>
                <w:p>
                  <w:pPr>
                    <w:adjustRightInd w:val="0"/>
                    <w:snapToGrid w:val="0"/>
                    <w:jc w:val="center"/>
                    <w:rPr>
                      <w:bCs/>
                      <w:szCs w:val="21"/>
                    </w:rPr>
                  </w:pPr>
                  <w:r>
                    <w:rPr>
                      <w:rFonts w:hint="eastAsia"/>
                      <w:bCs/>
                      <w:szCs w:val="21"/>
                    </w:rPr>
                    <w:t>10km</w:t>
                  </w:r>
                </w:p>
              </w:tc>
              <w:tc>
                <w:tcPr>
                  <w:tcW w:w="797" w:type="pct"/>
                  <w:vAlign w:val="center"/>
                </w:tcPr>
                <w:p>
                  <w:pPr>
                    <w:adjustRightInd w:val="0"/>
                    <w:snapToGrid w:val="0"/>
                    <w:jc w:val="center"/>
                  </w:pPr>
                  <w:r>
                    <w:rPr>
                      <w:rFonts w:hint="eastAsia"/>
                    </w:rPr>
                    <w:t>一级保护区20.59k</w:t>
                  </w:r>
                  <w:r>
                    <w:t>m</w:t>
                  </w:r>
                  <w:r>
                    <w:rPr>
                      <w:vertAlign w:val="superscript"/>
                    </w:rPr>
                    <w:t>2</w:t>
                  </w:r>
                </w:p>
                <w:p>
                  <w:pPr>
                    <w:pStyle w:val="2"/>
                  </w:pPr>
                  <w:r>
                    <w:rPr>
                      <w:rFonts w:hint="eastAsia"/>
                      <w:bCs/>
                      <w:sz w:val="21"/>
                      <w:szCs w:val="21"/>
                    </w:rPr>
                    <w:t>二级保护区96.59</w:t>
                  </w:r>
                  <w:r>
                    <w:rPr>
                      <w:rFonts w:hint="eastAsia"/>
                      <w:sz w:val="21"/>
                      <w:szCs w:val="21"/>
                    </w:rPr>
                    <w:t>k</w:t>
                  </w:r>
                  <w:r>
                    <w:rPr>
                      <w:sz w:val="21"/>
                      <w:szCs w:val="21"/>
                    </w:rPr>
                    <w:t>m</w:t>
                  </w:r>
                  <w:r>
                    <w:rPr>
                      <w:sz w:val="21"/>
                      <w:szCs w:val="21"/>
                      <w:vertAlign w:val="superscript"/>
                    </w:rPr>
                    <w:t>2</w:t>
                  </w:r>
                </w:p>
              </w:tc>
              <w:tc>
                <w:tcPr>
                  <w:tcW w:w="848" w:type="pct"/>
                  <w:vAlign w:val="center"/>
                </w:tcPr>
                <w:p>
                  <w:pPr>
                    <w:adjustRightInd w:val="0"/>
                    <w:snapToGrid w:val="0"/>
                    <w:jc w:val="center"/>
                    <w:rPr>
                      <w:bCs/>
                      <w:szCs w:val="21"/>
                    </w:rPr>
                  </w:pPr>
                  <w:r>
                    <w:rPr>
                      <w:rFonts w:hint="eastAsia"/>
                      <w:bCs/>
                      <w:szCs w:val="21"/>
                    </w:rPr>
                    <w:t>国家级风景名胜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0" w:hRule="atLeast"/>
                <w:jc w:val="center"/>
              </w:trPr>
              <w:tc>
                <w:tcPr>
                  <w:tcW w:w="542" w:type="pct"/>
                  <w:vMerge w:val="continue"/>
                  <w:vAlign w:val="center"/>
                </w:tcPr>
                <w:p>
                  <w:pPr>
                    <w:adjustRightInd w:val="0"/>
                    <w:snapToGrid w:val="0"/>
                    <w:jc w:val="center"/>
                    <w:rPr>
                      <w:bCs/>
                      <w:szCs w:val="21"/>
                    </w:rPr>
                  </w:pPr>
                </w:p>
              </w:tc>
              <w:tc>
                <w:tcPr>
                  <w:tcW w:w="1497" w:type="pct"/>
                  <w:vAlign w:val="center"/>
                </w:tcPr>
                <w:p>
                  <w:pPr>
                    <w:adjustRightInd w:val="0"/>
                    <w:snapToGrid w:val="0"/>
                    <w:jc w:val="center"/>
                    <w:rPr>
                      <w:bCs/>
                      <w:szCs w:val="21"/>
                    </w:rPr>
                  </w:pPr>
                  <w:r>
                    <w:rPr>
                      <w:rFonts w:hint="eastAsia"/>
                      <w:bCs/>
                      <w:szCs w:val="21"/>
                    </w:rPr>
                    <w:t>琅琊山国家森林公园</w:t>
                  </w:r>
                </w:p>
              </w:tc>
              <w:tc>
                <w:tcPr>
                  <w:tcW w:w="746" w:type="pct"/>
                  <w:vAlign w:val="center"/>
                </w:tcPr>
                <w:p>
                  <w:pPr>
                    <w:adjustRightInd w:val="0"/>
                    <w:snapToGrid w:val="0"/>
                    <w:jc w:val="center"/>
                    <w:rPr>
                      <w:bCs/>
                      <w:szCs w:val="21"/>
                    </w:rPr>
                  </w:pPr>
                  <w:r>
                    <w:rPr>
                      <w:rFonts w:hint="eastAsia"/>
                      <w:bCs/>
                      <w:szCs w:val="21"/>
                    </w:rPr>
                    <w:t>NW</w:t>
                  </w:r>
                </w:p>
              </w:tc>
              <w:tc>
                <w:tcPr>
                  <w:tcW w:w="567" w:type="pct"/>
                  <w:vAlign w:val="center"/>
                </w:tcPr>
                <w:p>
                  <w:pPr>
                    <w:adjustRightInd w:val="0"/>
                    <w:snapToGrid w:val="0"/>
                    <w:jc w:val="center"/>
                    <w:rPr>
                      <w:bCs/>
                      <w:szCs w:val="21"/>
                    </w:rPr>
                  </w:pPr>
                  <w:r>
                    <w:rPr>
                      <w:rFonts w:hint="eastAsia"/>
                      <w:bCs/>
                      <w:szCs w:val="21"/>
                    </w:rPr>
                    <w:t>10km</w:t>
                  </w:r>
                </w:p>
              </w:tc>
              <w:tc>
                <w:tcPr>
                  <w:tcW w:w="797" w:type="pct"/>
                  <w:vAlign w:val="center"/>
                </w:tcPr>
                <w:p>
                  <w:pPr>
                    <w:adjustRightInd w:val="0"/>
                    <w:snapToGrid w:val="0"/>
                    <w:jc w:val="center"/>
                    <w:rPr>
                      <w:bCs/>
                      <w:szCs w:val="21"/>
                    </w:rPr>
                  </w:pPr>
                  <w:r>
                    <w:rPr>
                      <w:rFonts w:hint="eastAsia"/>
                      <w:bCs/>
                      <w:szCs w:val="21"/>
                    </w:rPr>
                    <w:t>二级保护区96.59</w:t>
                  </w:r>
                  <w:r>
                    <w:rPr>
                      <w:rFonts w:hint="eastAsia"/>
                      <w:szCs w:val="21"/>
                    </w:rPr>
                    <w:t>k</w:t>
                  </w:r>
                  <w:r>
                    <w:rPr>
                      <w:szCs w:val="21"/>
                    </w:rPr>
                    <w:t>m</w:t>
                  </w:r>
                  <w:r>
                    <w:rPr>
                      <w:szCs w:val="21"/>
                      <w:vertAlign w:val="superscript"/>
                    </w:rPr>
                    <w:t>2</w:t>
                  </w:r>
                </w:p>
              </w:tc>
              <w:tc>
                <w:tcPr>
                  <w:tcW w:w="848" w:type="pct"/>
                  <w:vAlign w:val="center"/>
                </w:tcPr>
                <w:p>
                  <w:pPr>
                    <w:adjustRightInd w:val="0"/>
                    <w:snapToGrid w:val="0"/>
                    <w:jc w:val="center"/>
                    <w:rPr>
                      <w:bCs/>
                      <w:szCs w:val="21"/>
                    </w:rPr>
                  </w:pPr>
                  <w:r>
                    <w:rPr>
                      <w:rFonts w:hint="eastAsia"/>
                      <w:bCs/>
                      <w:szCs w:val="21"/>
                    </w:rPr>
                    <w:t>国家森林公园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42" w:type="pct"/>
                  <w:vMerge w:val="continue"/>
                  <w:vAlign w:val="center"/>
                </w:tcPr>
                <w:p>
                  <w:pPr>
                    <w:adjustRightInd w:val="0"/>
                    <w:snapToGrid w:val="0"/>
                    <w:jc w:val="center"/>
                    <w:rPr>
                      <w:bCs/>
                      <w:szCs w:val="21"/>
                    </w:rPr>
                  </w:pPr>
                </w:p>
              </w:tc>
              <w:tc>
                <w:tcPr>
                  <w:tcW w:w="1497" w:type="pct"/>
                  <w:vAlign w:val="center"/>
                </w:tcPr>
                <w:p>
                  <w:pPr>
                    <w:adjustRightInd w:val="0"/>
                    <w:snapToGrid w:val="0"/>
                    <w:jc w:val="center"/>
                    <w:rPr>
                      <w:bCs/>
                      <w:szCs w:val="21"/>
                    </w:rPr>
                  </w:pPr>
                  <w:r>
                    <w:rPr>
                      <w:rFonts w:hint="eastAsia"/>
                      <w:bCs/>
                      <w:szCs w:val="21"/>
                    </w:rPr>
                    <w:t>滁州市西涧湖饮用水水源保护区</w:t>
                  </w:r>
                </w:p>
              </w:tc>
              <w:tc>
                <w:tcPr>
                  <w:tcW w:w="746" w:type="pct"/>
                  <w:vAlign w:val="center"/>
                </w:tcPr>
                <w:p>
                  <w:pPr>
                    <w:adjustRightInd w:val="0"/>
                    <w:snapToGrid w:val="0"/>
                    <w:jc w:val="center"/>
                    <w:rPr>
                      <w:bCs/>
                      <w:szCs w:val="21"/>
                    </w:rPr>
                  </w:pPr>
                  <w:r>
                    <w:rPr>
                      <w:rFonts w:hint="eastAsia"/>
                      <w:bCs/>
                      <w:szCs w:val="21"/>
                    </w:rPr>
                    <w:t>NW</w:t>
                  </w:r>
                </w:p>
              </w:tc>
              <w:tc>
                <w:tcPr>
                  <w:tcW w:w="567" w:type="pct"/>
                  <w:vAlign w:val="center"/>
                </w:tcPr>
                <w:p>
                  <w:pPr>
                    <w:adjustRightInd w:val="0"/>
                    <w:snapToGrid w:val="0"/>
                    <w:jc w:val="center"/>
                    <w:rPr>
                      <w:bCs/>
                      <w:szCs w:val="21"/>
                    </w:rPr>
                  </w:pPr>
                  <w:r>
                    <w:rPr>
                      <w:rFonts w:hint="eastAsia"/>
                      <w:bCs/>
                      <w:szCs w:val="21"/>
                    </w:rPr>
                    <w:t>9.6km</w:t>
                  </w:r>
                </w:p>
              </w:tc>
              <w:tc>
                <w:tcPr>
                  <w:tcW w:w="797" w:type="pct"/>
                  <w:vAlign w:val="center"/>
                </w:tcPr>
                <w:p>
                  <w:pPr>
                    <w:adjustRightInd w:val="0"/>
                    <w:snapToGrid w:val="0"/>
                    <w:jc w:val="center"/>
                  </w:pPr>
                  <w:r>
                    <w:rPr>
                      <w:rFonts w:hint="eastAsia"/>
                    </w:rPr>
                    <w:t>一级保护区8.78k</w:t>
                  </w:r>
                  <w:r>
                    <w:t>m</w:t>
                  </w:r>
                  <w:r>
                    <w:rPr>
                      <w:vertAlign w:val="superscript"/>
                    </w:rPr>
                    <w:t>2</w:t>
                  </w:r>
                </w:p>
                <w:p>
                  <w:pPr>
                    <w:adjustRightInd w:val="0"/>
                    <w:snapToGrid w:val="0"/>
                    <w:jc w:val="center"/>
                    <w:rPr>
                      <w:bCs/>
                      <w:szCs w:val="21"/>
                    </w:rPr>
                  </w:pPr>
                  <w:r>
                    <w:rPr>
                      <w:rFonts w:hint="eastAsia"/>
                      <w:bCs/>
                      <w:szCs w:val="21"/>
                    </w:rPr>
                    <w:t>二级保护区32.64</w:t>
                  </w:r>
                  <w:r>
                    <w:rPr>
                      <w:rFonts w:hint="eastAsia"/>
                      <w:szCs w:val="21"/>
                    </w:rPr>
                    <w:t>k</w:t>
                  </w:r>
                  <w:r>
                    <w:rPr>
                      <w:szCs w:val="21"/>
                    </w:rPr>
                    <w:t>m</w:t>
                  </w:r>
                  <w:r>
                    <w:rPr>
                      <w:szCs w:val="21"/>
                      <w:vertAlign w:val="superscript"/>
                    </w:rPr>
                    <w:t>2</w:t>
                  </w:r>
                </w:p>
              </w:tc>
              <w:tc>
                <w:tcPr>
                  <w:tcW w:w="848" w:type="pct"/>
                  <w:vAlign w:val="center"/>
                </w:tcPr>
                <w:p>
                  <w:pPr>
                    <w:adjustRightInd w:val="0"/>
                    <w:snapToGrid w:val="0"/>
                    <w:jc w:val="center"/>
                    <w:rPr>
                      <w:bCs/>
                      <w:szCs w:val="21"/>
                    </w:rPr>
                  </w:pPr>
                  <w:r>
                    <w:rPr>
                      <w:rFonts w:hint="eastAsia"/>
                      <w:bCs/>
                      <w:szCs w:val="21"/>
                    </w:rPr>
                    <w:t>市级饮用水水源保护区</w:t>
                  </w:r>
                </w:p>
              </w:tc>
            </w:tr>
          </w:tbl>
          <w:p>
            <w:pPr>
              <w:adjustRightInd w:val="0"/>
              <w:snapToGrid w:val="0"/>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490" w:type="dxa"/>
            <w:tcMar>
              <w:left w:w="28" w:type="dxa"/>
              <w:right w:w="28" w:type="dxa"/>
            </w:tcMar>
            <w:vAlign w:val="center"/>
          </w:tcPr>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污</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染</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物</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排</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放</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控</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制</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标</w:t>
            </w:r>
          </w:p>
          <w:p>
            <w:pPr>
              <w:adjustRightInd w:val="0"/>
              <w:snapToGrid w:val="0"/>
              <w:spacing w:line="480" w:lineRule="auto"/>
              <w:jc w:val="center"/>
              <w:rPr>
                <w:rFonts w:ascii="宋体" w:hAnsi="宋体" w:cs="宋体"/>
                <w:kern w:val="0"/>
                <w:szCs w:val="21"/>
              </w:rPr>
            </w:pPr>
            <w:r>
              <w:rPr>
                <w:rFonts w:hint="eastAsia" w:ascii="宋体" w:hAnsi="宋体" w:cs="宋体"/>
                <w:kern w:val="0"/>
                <w:sz w:val="28"/>
                <w:szCs w:val="28"/>
              </w:rPr>
              <w:t>准</w:t>
            </w:r>
          </w:p>
        </w:tc>
        <w:tc>
          <w:tcPr>
            <w:tcW w:w="8500" w:type="dxa"/>
          </w:tcPr>
          <w:p>
            <w:pPr>
              <w:spacing w:line="360" w:lineRule="auto"/>
              <w:ind w:firstLine="482" w:firstLineChars="200"/>
              <w:rPr>
                <w:b/>
                <w:bCs/>
                <w:snapToGrid w:val="0"/>
                <w:kern w:val="24"/>
                <w:sz w:val="24"/>
              </w:rPr>
            </w:pPr>
            <w:r>
              <w:rPr>
                <w:rFonts w:hint="eastAsia"/>
                <w:b/>
                <w:bCs/>
                <w:snapToGrid w:val="0"/>
                <w:kern w:val="24"/>
                <w:sz w:val="24"/>
              </w:rPr>
              <w:t>1、</w:t>
            </w:r>
            <w:r>
              <w:rPr>
                <w:b/>
                <w:bCs/>
                <w:snapToGrid w:val="0"/>
                <w:kern w:val="24"/>
                <w:sz w:val="24"/>
              </w:rPr>
              <w:t>大气污染物</w:t>
            </w:r>
          </w:p>
          <w:p>
            <w:pPr>
              <w:widowControl/>
              <w:spacing w:line="360" w:lineRule="auto"/>
              <w:ind w:firstLine="480" w:firstLineChars="200"/>
              <w:jc w:val="left"/>
              <w:rPr>
                <w:b/>
                <w:sz w:val="24"/>
              </w:rPr>
            </w:pPr>
            <w:r>
              <w:rPr>
                <w:sz w:val="24"/>
              </w:rPr>
              <w:t>本项目</w:t>
            </w:r>
            <w:r>
              <w:rPr>
                <w:rFonts w:hint="eastAsia"/>
                <w:sz w:val="24"/>
              </w:rPr>
              <w:t>产生的颗粒物、非甲烷总烃</w:t>
            </w:r>
            <w:r>
              <w:rPr>
                <w:bCs/>
                <w:sz w:val="24"/>
              </w:rPr>
              <w:t>参照执行</w:t>
            </w:r>
            <w:r>
              <w:rPr>
                <w:sz w:val="24"/>
                <w:lang w:val="zh-CN"/>
              </w:rPr>
              <w:t>《合成树脂工业污染物排放标准》（GB31572-2015）中表5</w:t>
            </w:r>
            <w:r>
              <w:rPr>
                <w:sz w:val="24"/>
              </w:rPr>
              <w:t>中</w:t>
            </w:r>
            <w:r>
              <w:rPr>
                <w:sz w:val="24"/>
                <w:lang w:val="zh-CN"/>
              </w:rPr>
              <w:t>大气污染物特别排放限值要求；非甲烷总烃无组织</w:t>
            </w:r>
            <w:r>
              <w:rPr>
                <w:sz w:val="24"/>
              </w:rPr>
              <w:t>排放</w:t>
            </w:r>
            <w:r>
              <w:rPr>
                <w:sz w:val="24"/>
                <w:lang w:val="zh-CN"/>
              </w:rPr>
              <w:t>执行《合成树脂工业污染物排放标准》（GB31572-2015）中表9</w:t>
            </w:r>
            <w:r>
              <w:rPr>
                <w:sz w:val="24"/>
              </w:rPr>
              <w:t>中</w:t>
            </w:r>
            <w:r>
              <w:rPr>
                <w:sz w:val="24"/>
                <w:lang w:val="zh-CN"/>
              </w:rPr>
              <w:t>企业边界大气污染物浓度限值</w:t>
            </w:r>
            <w:r>
              <w:rPr>
                <w:sz w:val="24"/>
              </w:rPr>
              <w:t>要求；</w:t>
            </w:r>
            <w:r>
              <w:rPr>
                <w:rFonts w:hint="eastAsia"/>
                <w:sz w:val="24"/>
              </w:rPr>
              <w:t>食堂</w:t>
            </w:r>
            <w:r>
              <w:rPr>
                <w:rFonts w:hint="eastAsia"/>
                <w:bCs/>
                <w:sz w:val="24"/>
              </w:rPr>
              <w:t>油烟执行《饮食业油烟排放标准》（GB 18483-2001）中相关标准值；</w:t>
            </w:r>
            <w:r>
              <w:rPr>
                <w:sz w:val="24"/>
              </w:rPr>
              <w:t>厂区内厂房外VOCs无组织排放执行《挥发性有机物无组织排放控制标准》（GB 37822—2019）表A.1规定的重点区域特殊排放限值，无组织排放的颗粒物执行</w:t>
            </w:r>
            <w:r>
              <w:rPr>
                <w:sz w:val="24"/>
                <w:lang w:val="zh-CN"/>
              </w:rPr>
              <w:t>《合成树脂工业污染物排放标准》（GB31572-2015）中表9限值要求</w:t>
            </w:r>
            <w:r>
              <w:rPr>
                <w:rFonts w:hint="eastAsia"/>
                <w:sz w:val="24"/>
              </w:rPr>
              <w:t>。</w:t>
            </w:r>
            <w:r>
              <w:rPr>
                <w:kern w:val="0"/>
                <w:sz w:val="24"/>
              </w:rPr>
              <w:t>详见下表。</w:t>
            </w:r>
          </w:p>
          <w:p>
            <w:pPr>
              <w:spacing w:line="360" w:lineRule="auto"/>
              <w:jc w:val="center"/>
              <w:rPr>
                <w:b/>
                <w:sz w:val="24"/>
              </w:rPr>
            </w:pPr>
            <w:r>
              <w:rPr>
                <w:b/>
                <w:sz w:val="24"/>
              </w:rPr>
              <w:t>表</w:t>
            </w:r>
            <w:r>
              <w:rPr>
                <w:rFonts w:hint="eastAsia"/>
                <w:b/>
                <w:sz w:val="24"/>
              </w:rPr>
              <w:t>3-10</w:t>
            </w:r>
            <w:r>
              <w:rPr>
                <w:b/>
                <w:sz w:val="24"/>
              </w:rPr>
              <w:t xml:space="preserve">  项目废气排放标准 </w:t>
            </w:r>
          </w:p>
          <w:tbl>
            <w:tblPr>
              <w:tblStyle w:val="22"/>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59"/>
              <w:gridCol w:w="723"/>
              <w:gridCol w:w="600"/>
              <w:gridCol w:w="1173"/>
              <w:gridCol w:w="1145"/>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62" w:type="dxa"/>
                  <w:vMerge w:val="restart"/>
                  <w:vAlign w:val="center"/>
                </w:tcPr>
                <w:p>
                  <w:pPr>
                    <w:jc w:val="center"/>
                    <w:rPr>
                      <w:b/>
                      <w:bCs/>
                      <w:szCs w:val="21"/>
                    </w:rPr>
                  </w:pPr>
                  <w:r>
                    <w:rPr>
                      <w:b/>
                      <w:bCs/>
                    </w:rPr>
                    <w:t>污染物</w:t>
                  </w:r>
                </w:p>
              </w:tc>
              <w:tc>
                <w:tcPr>
                  <w:tcW w:w="1159" w:type="dxa"/>
                  <w:vMerge w:val="restart"/>
                  <w:vAlign w:val="center"/>
                </w:tcPr>
                <w:p>
                  <w:pPr>
                    <w:jc w:val="center"/>
                    <w:rPr>
                      <w:b/>
                      <w:bCs/>
                      <w:szCs w:val="21"/>
                    </w:rPr>
                  </w:pPr>
                  <w:r>
                    <w:rPr>
                      <w:b/>
                      <w:bCs/>
                    </w:rPr>
                    <w:t>最高允许排放浓度（mg/m</w:t>
                  </w:r>
                  <w:r>
                    <w:rPr>
                      <w:b/>
                      <w:bCs/>
                      <w:vertAlign w:val="superscript"/>
                    </w:rPr>
                    <w:t>3</w:t>
                  </w:r>
                  <w:r>
                    <w:rPr>
                      <w:b/>
                      <w:bCs/>
                    </w:rPr>
                    <w:t>）</w:t>
                  </w:r>
                </w:p>
              </w:tc>
              <w:tc>
                <w:tcPr>
                  <w:tcW w:w="723" w:type="dxa"/>
                  <w:vMerge w:val="restart"/>
                  <w:vAlign w:val="center"/>
                </w:tcPr>
                <w:p>
                  <w:pPr>
                    <w:jc w:val="center"/>
                    <w:rPr>
                      <w:b/>
                      <w:bCs/>
                      <w:szCs w:val="21"/>
                    </w:rPr>
                  </w:pPr>
                  <w:r>
                    <w:rPr>
                      <w:b/>
                      <w:bCs/>
                    </w:rPr>
                    <w:t>排气筒高度</w:t>
                  </w:r>
                </w:p>
                <w:p>
                  <w:pPr>
                    <w:jc w:val="center"/>
                    <w:rPr>
                      <w:b/>
                      <w:bCs/>
                      <w:szCs w:val="21"/>
                    </w:rPr>
                  </w:pPr>
                  <w:r>
                    <w:rPr>
                      <w:b/>
                      <w:bCs/>
                    </w:rPr>
                    <w:t>（m）</w:t>
                  </w:r>
                </w:p>
              </w:tc>
              <w:tc>
                <w:tcPr>
                  <w:tcW w:w="1773" w:type="dxa"/>
                  <w:gridSpan w:val="2"/>
                  <w:vAlign w:val="center"/>
                </w:tcPr>
                <w:p>
                  <w:pPr>
                    <w:jc w:val="center"/>
                    <w:rPr>
                      <w:b/>
                      <w:bCs/>
                      <w:szCs w:val="21"/>
                    </w:rPr>
                  </w:pPr>
                  <w:r>
                    <w:rPr>
                      <w:b/>
                      <w:bCs/>
                    </w:rPr>
                    <w:t>无组织排放监控限值</w:t>
                  </w:r>
                </w:p>
              </w:tc>
              <w:tc>
                <w:tcPr>
                  <w:tcW w:w="1145" w:type="dxa"/>
                  <w:vMerge w:val="restart"/>
                  <w:vAlign w:val="center"/>
                </w:tcPr>
                <w:p>
                  <w:pPr>
                    <w:jc w:val="center"/>
                    <w:rPr>
                      <w:rFonts w:hint="eastAsia" w:eastAsia="宋体"/>
                      <w:b/>
                      <w:bCs/>
                      <w:szCs w:val="21"/>
                      <w:lang w:eastAsia="zh-CN"/>
                    </w:rPr>
                  </w:pPr>
                  <w:r>
                    <w:rPr>
                      <w:rFonts w:hint="eastAsia"/>
                      <w:b/>
                      <w:bCs/>
                      <w:szCs w:val="21"/>
                      <w:lang w:eastAsia="zh-CN"/>
                    </w:rPr>
                    <w:t>单位产品非甲烷总烃排放量（</w:t>
                  </w:r>
                  <w:r>
                    <w:rPr>
                      <w:rFonts w:hint="eastAsia"/>
                      <w:b/>
                      <w:bCs/>
                      <w:szCs w:val="21"/>
                      <w:lang w:val="en-US" w:eastAsia="zh-CN"/>
                    </w:rPr>
                    <w:t>kg/t产品</w:t>
                  </w:r>
                  <w:r>
                    <w:rPr>
                      <w:rFonts w:hint="eastAsia"/>
                      <w:b/>
                      <w:bCs/>
                      <w:szCs w:val="21"/>
                      <w:lang w:eastAsia="zh-CN"/>
                    </w:rPr>
                    <w:t>）</w:t>
                  </w:r>
                </w:p>
              </w:tc>
              <w:tc>
                <w:tcPr>
                  <w:tcW w:w="2558" w:type="dxa"/>
                  <w:vMerge w:val="restart"/>
                  <w:vAlign w:val="center"/>
                </w:tcPr>
                <w:p>
                  <w:pPr>
                    <w:jc w:val="center"/>
                    <w:rPr>
                      <w:b/>
                      <w:bCs/>
                    </w:rPr>
                  </w:pPr>
                  <w:r>
                    <w:rPr>
                      <w:b/>
                      <w:bCs/>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2" w:type="dxa"/>
                  <w:vMerge w:val="continue"/>
                  <w:vAlign w:val="center"/>
                </w:tcPr>
                <w:p>
                  <w:pPr>
                    <w:widowControl/>
                    <w:jc w:val="left"/>
                    <w:rPr>
                      <w:b/>
                      <w:bCs/>
                      <w:szCs w:val="21"/>
                    </w:rPr>
                  </w:pPr>
                </w:p>
              </w:tc>
              <w:tc>
                <w:tcPr>
                  <w:tcW w:w="1159" w:type="dxa"/>
                  <w:vMerge w:val="continue"/>
                  <w:vAlign w:val="center"/>
                </w:tcPr>
                <w:p>
                  <w:pPr>
                    <w:widowControl/>
                    <w:jc w:val="left"/>
                    <w:rPr>
                      <w:b/>
                      <w:bCs/>
                      <w:szCs w:val="21"/>
                    </w:rPr>
                  </w:pPr>
                </w:p>
              </w:tc>
              <w:tc>
                <w:tcPr>
                  <w:tcW w:w="723" w:type="dxa"/>
                  <w:vMerge w:val="continue"/>
                  <w:vAlign w:val="center"/>
                </w:tcPr>
                <w:p>
                  <w:pPr>
                    <w:widowControl/>
                    <w:jc w:val="left"/>
                    <w:rPr>
                      <w:b/>
                      <w:bCs/>
                      <w:szCs w:val="21"/>
                    </w:rPr>
                  </w:pPr>
                </w:p>
              </w:tc>
              <w:tc>
                <w:tcPr>
                  <w:tcW w:w="600" w:type="dxa"/>
                  <w:vAlign w:val="center"/>
                </w:tcPr>
                <w:p>
                  <w:pPr>
                    <w:jc w:val="center"/>
                    <w:rPr>
                      <w:b/>
                      <w:bCs/>
                      <w:szCs w:val="21"/>
                    </w:rPr>
                  </w:pPr>
                  <w:r>
                    <w:rPr>
                      <w:b/>
                      <w:bCs/>
                    </w:rPr>
                    <w:t>监控点</w:t>
                  </w:r>
                </w:p>
              </w:tc>
              <w:tc>
                <w:tcPr>
                  <w:tcW w:w="1173" w:type="dxa"/>
                  <w:vAlign w:val="center"/>
                </w:tcPr>
                <w:p>
                  <w:pPr>
                    <w:jc w:val="center"/>
                    <w:rPr>
                      <w:b/>
                      <w:bCs/>
                      <w:szCs w:val="21"/>
                    </w:rPr>
                  </w:pPr>
                  <w:r>
                    <w:rPr>
                      <w:b/>
                      <w:bCs/>
                    </w:rPr>
                    <w:t>浓度（mg/m</w:t>
                  </w:r>
                  <w:r>
                    <w:rPr>
                      <w:b/>
                      <w:bCs/>
                      <w:vertAlign w:val="superscript"/>
                    </w:rPr>
                    <w:t>3</w:t>
                  </w:r>
                  <w:r>
                    <w:rPr>
                      <w:b/>
                      <w:bCs/>
                    </w:rPr>
                    <w:t>）</w:t>
                  </w:r>
                </w:p>
              </w:tc>
              <w:tc>
                <w:tcPr>
                  <w:tcW w:w="1145" w:type="dxa"/>
                  <w:vMerge w:val="continue"/>
                  <w:vAlign w:val="center"/>
                </w:tcPr>
                <w:p>
                  <w:pPr>
                    <w:widowControl/>
                    <w:jc w:val="center"/>
                    <w:rPr>
                      <w:b/>
                      <w:bCs/>
                      <w:szCs w:val="21"/>
                    </w:rPr>
                  </w:pPr>
                </w:p>
              </w:tc>
              <w:tc>
                <w:tcPr>
                  <w:tcW w:w="2558" w:type="dxa"/>
                  <w:vMerge w:val="continue"/>
                  <w:vAlign w:val="center"/>
                </w:tcPr>
                <w:p>
                  <w:pPr>
                    <w:widowControl/>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62" w:type="dxa"/>
                  <w:vAlign w:val="center"/>
                </w:tcPr>
                <w:p>
                  <w:pPr>
                    <w:adjustRightInd w:val="0"/>
                    <w:snapToGrid w:val="0"/>
                    <w:jc w:val="center"/>
                    <w:rPr>
                      <w:szCs w:val="21"/>
                    </w:rPr>
                  </w:pPr>
                  <w:r>
                    <w:rPr>
                      <w:szCs w:val="21"/>
                    </w:rPr>
                    <w:t>非甲烷总烃</w:t>
                  </w:r>
                </w:p>
              </w:tc>
              <w:tc>
                <w:tcPr>
                  <w:tcW w:w="1159" w:type="dxa"/>
                  <w:vAlign w:val="center"/>
                </w:tcPr>
                <w:p>
                  <w:pPr>
                    <w:adjustRightInd w:val="0"/>
                    <w:snapToGrid w:val="0"/>
                    <w:jc w:val="center"/>
                    <w:rPr>
                      <w:szCs w:val="21"/>
                    </w:rPr>
                  </w:pPr>
                  <w:r>
                    <w:rPr>
                      <w:szCs w:val="21"/>
                    </w:rPr>
                    <w:t>60</w:t>
                  </w:r>
                </w:p>
              </w:tc>
              <w:tc>
                <w:tcPr>
                  <w:tcW w:w="723" w:type="dxa"/>
                  <w:vAlign w:val="center"/>
                </w:tcPr>
                <w:p>
                  <w:pPr>
                    <w:adjustRightInd w:val="0"/>
                    <w:snapToGrid w:val="0"/>
                    <w:jc w:val="center"/>
                    <w:rPr>
                      <w:szCs w:val="21"/>
                    </w:rPr>
                  </w:pPr>
                  <w:r>
                    <w:rPr>
                      <w:szCs w:val="21"/>
                    </w:rPr>
                    <w:t>15</w:t>
                  </w:r>
                </w:p>
              </w:tc>
              <w:tc>
                <w:tcPr>
                  <w:tcW w:w="600" w:type="dxa"/>
                  <w:vAlign w:val="center"/>
                </w:tcPr>
                <w:p>
                  <w:pPr>
                    <w:adjustRightInd w:val="0"/>
                    <w:snapToGrid w:val="0"/>
                    <w:jc w:val="center"/>
                  </w:pPr>
                  <w:r>
                    <w:t>/</w:t>
                  </w:r>
                </w:p>
              </w:tc>
              <w:tc>
                <w:tcPr>
                  <w:tcW w:w="1173" w:type="dxa"/>
                  <w:vAlign w:val="center"/>
                </w:tcPr>
                <w:p>
                  <w:pPr>
                    <w:adjustRightInd w:val="0"/>
                    <w:snapToGrid w:val="0"/>
                    <w:jc w:val="center"/>
                    <w:rPr>
                      <w:szCs w:val="21"/>
                    </w:rPr>
                  </w:pPr>
                  <w:r>
                    <w:rPr>
                      <w:szCs w:val="21"/>
                    </w:rPr>
                    <w:t>4.0</w:t>
                  </w:r>
                </w:p>
              </w:tc>
              <w:tc>
                <w:tcPr>
                  <w:tcW w:w="1145" w:type="dxa"/>
                  <w:vMerge w:val="restart"/>
                  <w:vAlign w:val="center"/>
                </w:tcPr>
                <w:p>
                  <w:pPr>
                    <w:adjustRightInd w:val="0"/>
                    <w:snapToGrid w:val="0"/>
                    <w:jc w:val="center"/>
                    <w:rPr>
                      <w:rFonts w:hint="default" w:eastAsia="宋体"/>
                      <w:lang w:val="en-US" w:eastAsia="zh-CN"/>
                    </w:rPr>
                  </w:pPr>
                  <w:r>
                    <w:rPr>
                      <w:rFonts w:hint="eastAsia"/>
                      <w:lang w:val="en-US" w:eastAsia="zh-CN"/>
                    </w:rPr>
                    <w:t>0.3</w:t>
                  </w:r>
                </w:p>
              </w:tc>
              <w:tc>
                <w:tcPr>
                  <w:tcW w:w="2558" w:type="dxa"/>
                  <w:vMerge w:val="restart"/>
                  <w:vAlign w:val="center"/>
                </w:tcPr>
                <w:p>
                  <w:pPr>
                    <w:adjustRightInd w:val="0"/>
                    <w:snapToGrid w:val="0"/>
                    <w:jc w:val="center"/>
                  </w:pPr>
                  <w:r>
                    <w:t>《合成树脂工业污染物排</w:t>
                  </w:r>
                </w:p>
                <w:p>
                  <w:pPr>
                    <w:adjustRightInd w:val="0"/>
                    <w:snapToGrid w:val="0"/>
                    <w:jc w:val="center"/>
                  </w:pPr>
                  <w:r>
                    <w:t>放标准》（GB31572-2015）</w:t>
                  </w:r>
                </w:p>
                <w:p>
                  <w:pPr>
                    <w:adjustRightInd w:val="0"/>
                    <w:snapToGrid w:val="0"/>
                    <w:jc w:val="center"/>
                  </w:pPr>
                  <w:r>
                    <w:t>中表 5 和表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62" w:type="dxa"/>
                  <w:vAlign w:val="center"/>
                </w:tcPr>
                <w:p>
                  <w:pPr>
                    <w:adjustRightInd w:val="0"/>
                    <w:snapToGrid w:val="0"/>
                    <w:jc w:val="center"/>
                    <w:rPr>
                      <w:szCs w:val="21"/>
                    </w:rPr>
                  </w:pPr>
                  <w:r>
                    <w:t>颗粒物</w:t>
                  </w:r>
                </w:p>
              </w:tc>
              <w:tc>
                <w:tcPr>
                  <w:tcW w:w="1159" w:type="dxa"/>
                  <w:vAlign w:val="center"/>
                </w:tcPr>
                <w:p>
                  <w:pPr>
                    <w:adjustRightInd w:val="0"/>
                    <w:snapToGrid w:val="0"/>
                    <w:jc w:val="center"/>
                    <w:rPr>
                      <w:szCs w:val="21"/>
                    </w:rPr>
                  </w:pPr>
                  <w:r>
                    <w:rPr>
                      <w:szCs w:val="21"/>
                    </w:rPr>
                    <w:t>20</w:t>
                  </w:r>
                </w:p>
              </w:tc>
              <w:tc>
                <w:tcPr>
                  <w:tcW w:w="723" w:type="dxa"/>
                  <w:vAlign w:val="center"/>
                </w:tcPr>
                <w:p>
                  <w:pPr>
                    <w:adjustRightInd w:val="0"/>
                    <w:snapToGrid w:val="0"/>
                    <w:jc w:val="center"/>
                    <w:rPr>
                      <w:szCs w:val="21"/>
                    </w:rPr>
                  </w:pPr>
                  <w:r>
                    <w:rPr>
                      <w:szCs w:val="21"/>
                    </w:rPr>
                    <w:t>15</w:t>
                  </w:r>
                </w:p>
              </w:tc>
              <w:tc>
                <w:tcPr>
                  <w:tcW w:w="600" w:type="dxa"/>
                  <w:vAlign w:val="center"/>
                </w:tcPr>
                <w:p>
                  <w:pPr>
                    <w:adjustRightInd w:val="0"/>
                    <w:snapToGrid w:val="0"/>
                    <w:jc w:val="center"/>
                  </w:pPr>
                  <w:r>
                    <w:t>/</w:t>
                  </w:r>
                </w:p>
              </w:tc>
              <w:tc>
                <w:tcPr>
                  <w:tcW w:w="1173" w:type="dxa"/>
                  <w:vAlign w:val="center"/>
                </w:tcPr>
                <w:p>
                  <w:pPr>
                    <w:adjustRightInd w:val="0"/>
                    <w:snapToGrid w:val="0"/>
                    <w:jc w:val="center"/>
                    <w:rPr>
                      <w:szCs w:val="21"/>
                    </w:rPr>
                  </w:pPr>
                  <w:r>
                    <w:rPr>
                      <w:szCs w:val="21"/>
                    </w:rPr>
                    <w:t>1.0</w:t>
                  </w:r>
                </w:p>
              </w:tc>
              <w:tc>
                <w:tcPr>
                  <w:tcW w:w="1145" w:type="dxa"/>
                  <w:vMerge w:val="continue"/>
                  <w:vAlign w:val="center"/>
                </w:tcPr>
                <w:p>
                  <w:pPr>
                    <w:adjustRightInd w:val="0"/>
                    <w:snapToGrid w:val="0"/>
                    <w:jc w:val="center"/>
                  </w:pPr>
                </w:p>
              </w:tc>
              <w:tc>
                <w:tcPr>
                  <w:tcW w:w="2558" w:type="dxa"/>
                  <w:vMerge w:val="continue"/>
                  <w:vAlign w:val="center"/>
                </w:tcPr>
                <w:p>
                  <w:pPr>
                    <w:adjustRightInd w:val="0"/>
                    <w:snapToGrid w:val="0"/>
                    <w:jc w:val="center"/>
                  </w:pPr>
                </w:p>
              </w:tc>
            </w:tr>
          </w:tbl>
          <w:p>
            <w:pPr>
              <w:spacing w:before="120" w:beforeLines="50" w:line="360" w:lineRule="auto"/>
              <w:ind w:firstLine="482" w:firstLineChars="200"/>
              <w:jc w:val="center"/>
              <w:rPr>
                <w:rFonts w:ascii="宋体" w:hAnsi="宋体" w:cs="宋体"/>
                <w:b/>
                <w:bCs/>
                <w:sz w:val="24"/>
              </w:rPr>
            </w:pPr>
            <w:r>
              <w:rPr>
                <w:b/>
                <w:bCs/>
                <w:sz w:val="24"/>
              </w:rPr>
              <w:t>表</w:t>
            </w:r>
            <w:r>
              <w:rPr>
                <w:rFonts w:hint="eastAsia"/>
                <w:b/>
                <w:bCs/>
                <w:sz w:val="24"/>
              </w:rPr>
              <w:t>3-11</w:t>
            </w:r>
            <w:r>
              <w:rPr>
                <w:b/>
                <w:bCs/>
                <w:sz w:val="24"/>
              </w:rPr>
              <w:t xml:space="preserve"> </w:t>
            </w:r>
            <w:r>
              <w:rPr>
                <w:rFonts w:hint="eastAsia" w:ascii="宋体" w:hAnsi="宋体" w:cs="宋体"/>
                <w:b/>
                <w:bCs/>
                <w:sz w:val="24"/>
              </w:rPr>
              <w:t xml:space="preserve"> 挥发性有机物无组织控制排放标准</w:t>
            </w:r>
          </w:p>
          <w:tbl>
            <w:tblPr>
              <w:tblStyle w:val="22"/>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659"/>
              <w:gridCol w:w="2769"/>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377" w:type="dxa"/>
                  <w:vAlign w:val="center"/>
                </w:tcPr>
                <w:p>
                  <w:pPr>
                    <w:jc w:val="center"/>
                    <w:rPr>
                      <w:b/>
                      <w:bCs/>
                      <w:szCs w:val="21"/>
                    </w:rPr>
                  </w:pPr>
                  <w:r>
                    <w:rPr>
                      <w:b/>
                      <w:bCs/>
                      <w:szCs w:val="21"/>
                    </w:rPr>
                    <w:t>污染物项目</w:t>
                  </w:r>
                </w:p>
              </w:tc>
              <w:tc>
                <w:tcPr>
                  <w:tcW w:w="1602" w:type="dxa"/>
                  <w:vAlign w:val="center"/>
                </w:tcPr>
                <w:p>
                  <w:pPr>
                    <w:jc w:val="center"/>
                    <w:rPr>
                      <w:b/>
                      <w:bCs/>
                      <w:szCs w:val="21"/>
                    </w:rPr>
                  </w:pPr>
                  <w:r>
                    <w:rPr>
                      <w:b/>
                      <w:bCs/>
                      <w:szCs w:val="21"/>
                    </w:rPr>
                    <w:t>特别排放限值</w:t>
                  </w:r>
                </w:p>
              </w:tc>
              <w:tc>
                <w:tcPr>
                  <w:tcW w:w="2674" w:type="dxa"/>
                  <w:vAlign w:val="center"/>
                </w:tcPr>
                <w:p>
                  <w:pPr>
                    <w:jc w:val="center"/>
                    <w:rPr>
                      <w:b/>
                      <w:bCs/>
                      <w:szCs w:val="21"/>
                    </w:rPr>
                  </w:pPr>
                  <w:r>
                    <w:rPr>
                      <w:b/>
                      <w:bCs/>
                      <w:szCs w:val="21"/>
                    </w:rPr>
                    <w:t>限值含义</w:t>
                  </w:r>
                </w:p>
              </w:tc>
              <w:tc>
                <w:tcPr>
                  <w:tcW w:w="2285" w:type="dxa"/>
                  <w:vAlign w:val="center"/>
                </w:tcPr>
                <w:p>
                  <w:pPr>
                    <w:jc w:val="center"/>
                    <w:rPr>
                      <w:b/>
                      <w:bCs/>
                      <w:szCs w:val="21"/>
                    </w:rPr>
                  </w:pPr>
                  <w:r>
                    <w:rPr>
                      <w:b/>
                      <w:bCs/>
                      <w:szCs w:val="21"/>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7" w:type="dxa"/>
                  <w:vMerge w:val="restart"/>
                  <w:vAlign w:val="center"/>
                </w:tcPr>
                <w:p>
                  <w:pPr>
                    <w:jc w:val="center"/>
                    <w:rPr>
                      <w:szCs w:val="21"/>
                    </w:rPr>
                  </w:pPr>
                  <w:r>
                    <w:rPr>
                      <w:szCs w:val="21"/>
                    </w:rPr>
                    <w:t>非甲烷总烃</w:t>
                  </w:r>
                </w:p>
              </w:tc>
              <w:tc>
                <w:tcPr>
                  <w:tcW w:w="1602" w:type="dxa"/>
                  <w:vAlign w:val="center"/>
                </w:tcPr>
                <w:p>
                  <w:pPr>
                    <w:jc w:val="center"/>
                    <w:rPr>
                      <w:szCs w:val="21"/>
                    </w:rPr>
                  </w:pPr>
                  <w:r>
                    <w:rPr>
                      <w:szCs w:val="21"/>
                    </w:rPr>
                    <w:t>6</w:t>
                  </w:r>
                </w:p>
              </w:tc>
              <w:tc>
                <w:tcPr>
                  <w:tcW w:w="2674" w:type="dxa"/>
                  <w:vAlign w:val="center"/>
                </w:tcPr>
                <w:p>
                  <w:pPr>
                    <w:jc w:val="center"/>
                    <w:rPr>
                      <w:szCs w:val="21"/>
                    </w:rPr>
                  </w:pPr>
                  <w:r>
                    <w:rPr>
                      <w:szCs w:val="21"/>
                    </w:rPr>
                    <w:t>监控点处1h平均浓度值</w:t>
                  </w:r>
                </w:p>
              </w:tc>
              <w:tc>
                <w:tcPr>
                  <w:tcW w:w="2285" w:type="dxa"/>
                  <w:vMerge w:val="restart"/>
                  <w:vAlign w:val="center"/>
                </w:tcPr>
                <w:p>
                  <w:pPr>
                    <w:jc w:val="center"/>
                    <w:rPr>
                      <w:szCs w:val="21"/>
                    </w:rPr>
                  </w:pPr>
                  <w:r>
                    <w:rPr>
                      <w:szCs w:val="21"/>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7" w:type="dxa"/>
                  <w:vMerge w:val="continue"/>
                  <w:vAlign w:val="center"/>
                </w:tcPr>
                <w:p>
                  <w:pPr>
                    <w:jc w:val="center"/>
                    <w:rPr>
                      <w:szCs w:val="21"/>
                    </w:rPr>
                  </w:pPr>
                </w:p>
              </w:tc>
              <w:tc>
                <w:tcPr>
                  <w:tcW w:w="1602" w:type="dxa"/>
                  <w:vAlign w:val="center"/>
                </w:tcPr>
                <w:p>
                  <w:pPr>
                    <w:jc w:val="center"/>
                    <w:rPr>
                      <w:szCs w:val="21"/>
                    </w:rPr>
                  </w:pPr>
                  <w:r>
                    <w:rPr>
                      <w:szCs w:val="21"/>
                    </w:rPr>
                    <w:t>20</w:t>
                  </w:r>
                </w:p>
              </w:tc>
              <w:tc>
                <w:tcPr>
                  <w:tcW w:w="2674" w:type="dxa"/>
                  <w:vAlign w:val="center"/>
                </w:tcPr>
                <w:p>
                  <w:pPr>
                    <w:jc w:val="center"/>
                    <w:rPr>
                      <w:szCs w:val="21"/>
                    </w:rPr>
                  </w:pPr>
                  <w:r>
                    <w:rPr>
                      <w:szCs w:val="21"/>
                    </w:rPr>
                    <w:t>监控点处任意一次浓度值</w:t>
                  </w:r>
                </w:p>
              </w:tc>
              <w:tc>
                <w:tcPr>
                  <w:tcW w:w="2285" w:type="dxa"/>
                  <w:vMerge w:val="continue"/>
                  <w:vAlign w:val="center"/>
                </w:tcPr>
                <w:p>
                  <w:pPr>
                    <w:jc w:val="center"/>
                    <w:rPr>
                      <w:szCs w:val="21"/>
                    </w:rPr>
                  </w:pPr>
                </w:p>
              </w:tc>
            </w:tr>
          </w:tbl>
          <w:p>
            <w:pPr>
              <w:spacing w:before="120" w:beforeLines="50" w:line="360" w:lineRule="auto"/>
              <w:jc w:val="center"/>
              <w:rPr>
                <w:b/>
                <w:sz w:val="24"/>
              </w:rPr>
            </w:pPr>
            <w:r>
              <w:rPr>
                <w:b/>
                <w:sz w:val="24"/>
              </w:rPr>
              <w:t>表</w:t>
            </w:r>
            <w:r>
              <w:rPr>
                <w:rFonts w:hint="eastAsia"/>
                <w:b/>
                <w:sz w:val="24"/>
              </w:rPr>
              <w:t>3-12</w:t>
            </w:r>
            <w:r>
              <w:rPr>
                <w:b/>
                <w:sz w:val="24"/>
              </w:rPr>
              <w:t xml:space="preserve">  饮食业油烟排放标准 </w:t>
            </w:r>
          </w:p>
          <w:tbl>
            <w:tblPr>
              <w:tblStyle w:val="22"/>
              <w:tblpPr w:leftFromText="180" w:rightFromText="180" w:vertAnchor="text" w:tblpXSpec="center" w:tblpY="1"/>
              <w:tblOverlap w:val="never"/>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0"/>
              <w:gridCol w:w="1657"/>
              <w:gridCol w:w="1657"/>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3250"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规模</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小型</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中型</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50"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基准灶头数</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≥1，&lt;3</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≥3，&lt;6</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3250"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最高允许排放浓度(mg/m</w:t>
                  </w:r>
                  <w:r>
                    <w:rPr>
                      <w:szCs w:val="21"/>
                      <w:vertAlign w:val="superscript"/>
                    </w:rPr>
                    <w:t>3</w:t>
                  </w:r>
                  <w:r>
                    <w:rPr>
                      <w:szCs w:val="21"/>
                    </w:rPr>
                    <w:t>)</w:t>
                  </w:r>
                </w:p>
              </w:tc>
              <w:tc>
                <w:tcPr>
                  <w:tcW w:w="4972"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rPr>
              <w:tc>
                <w:tcPr>
                  <w:tcW w:w="3250"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净化设施最低去除效率(%)</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60</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75</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85</w:t>
                  </w:r>
                </w:p>
              </w:tc>
            </w:tr>
          </w:tbl>
          <w:p>
            <w:pPr>
              <w:spacing w:before="120" w:beforeLines="50" w:line="360" w:lineRule="auto"/>
              <w:ind w:firstLine="482" w:firstLineChars="200"/>
              <w:jc w:val="left"/>
              <w:rPr>
                <w:b/>
                <w:sz w:val="24"/>
              </w:rPr>
            </w:pPr>
            <w:r>
              <w:rPr>
                <w:rFonts w:hint="eastAsia"/>
                <w:b/>
                <w:sz w:val="24"/>
              </w:rPr>
              <w:t>2、</w:t>
            </w:r>
            <w:r>
              <w:rPr>
                <w:b/>
                <w:sz w:val="24"/>
              </w:rPr>
              <w:t>水污染物</w:t>
            </w:r>
          </w:p>
          <w:p>
            <w:pPr>
              <w:spacing w:line="360" w:lineRule="auto"/>
              <w:ind w:firstLine="480" w:firstLineChars="200"/>
              <w:jc w:val="left"/>
              <w:rPr>
                <w:b/>
                <w:sz w:val="24"/>
              </w:rPr>
            </w:pPr>
            <w:r>
              <w:rPr>
                <w:sz w:val="24"/>
              </w:rPr>
              <w:t>本项目废水排放执行《污水综合排放标准》（GB8978-1996）中表4中三级标准要求，其中氨氮</w:t>
            </w:r>
            <w:r>
              <w:rPr>
                <w:rFonts w:hint="eastAsia"/>
                <w:sz w:val="24"/>
              </w:rPr>
              <w:t>、总磷</w:t>
            </w:r>
            <w:r>
              <w:rPr>
                <w:sz w:val="24"/>
              </w:rPr>
              <w:t>执行《污水排入城镇下水道水质标准</w:t>
            </w:r>
            <w:r>
              <w:rPr>
                <w:rFonts w:hint="eastAsia"/>
                <w:sz w:val="24"/>
              </w:rPr>
              <w:t>》</w:t>
            </w:r>
            <w:r>
              <w:rPr>
                <w:sz w:val="24"/>
              </w:rPr>
              <w:t>（GBT31962-2015）表1中B等级标准</w:t>
            </w:r>
            <w:r>
              <w:rPr>
                <w:rFonts w:hint="eastAsia"/>
                <w:spacing w:val="-2"/>
                <w:sz w:val="24"/>
              </w:rPr>
              <w:t>后，接入滁州市第二污水处理厂集中处理，污水处理厂出水达《城镇污水处理厂污染物排放标准》（GB18918-2002）一级A标准要求后排入清流河</w:t>
            </w:r>
            <w:r>
              <w:rPr>
                <w:sz w:val="24"/>
              </w:rPr>
              <w:t>。具体执行标准情况见下表。</w:t>
            </w:r>
          </w:p>
          <w:p>
            <w:pPr>
              <w:spacing w:line="360" w:lineRule="auto"/>
              <w:jc w:val="center"/>
            </w:pPr>
            <w:r>
              <w:rPr>
                <w:b/>
                <w:sz w:val="24"/>
              </w:rPr>
              <w:t>表</w:t>
            </w:r>
            <w:r>
              <w:rPr>
                <w:rFonts w:hint="eastAsia"/>
                <w:b/>
                <w:sz w:val="24"/>
              </w:rPr>
              <w:t>3-13</w:t>
            </w:r>
            <w:r>
              <w:rPr>
                <w:b/>
                <w:sz w:val="24"/>
              </w:rPr>
              <w:t xml:space="preserve">  水污染物排放标准    </w:t>
            </w:r>
            <w:r>
              <w:rPr>
                <w:bCs/>
                <w:sz w:val="24"/>
              </w:rPr>
              <w:t>单位：mg/L</w:t>
            </w:r>
            <w:r>
              <w:rPr>
                <w:sz w:val="24"/>
              </w:rPr>
              <w:t>pH（无量纲）</w:t>
            </w:r>
          </w:p>
          <w:tbl>
            <w:tblPr>
              <w:tblStyle w:val="2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037"/>
              <w:gridCol w:w="1138"/>
              <w:gridCol w:w="1175"/>
              <w:gridCol w:w="1162"/>
              <w:gridCol w:w="1113"/>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项目</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pH</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COD</w:t>
                  </w: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SS</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TP</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氨氮</w:t>
                  </w:r>
                </w:p>
              </w:tc>
              <w:tc>
                <w:tcPr>
                  <w:tcW w:w="1119"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排放标准</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6～9</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500</w:t>
                  </w: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400</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spacing w:val="-8"/>
                      <w:szCs w:val="21"/>
                    </w:rPr>
                  </w:pPr>
                  <w:r>
                    <w:rPr>
                      <w:rFonts w:hint="eastAsia"/>
                      <w:spacing w:val="-8"/>
                      <w:szCs w:val="21"/>
                    </w:rPr>
                    <w:t>8</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rPr>
                      <w:spacing w:val="-8"/>
                      <w:szCs w:val="21"/>
                    </w:rPr>
                  </w:pPr>
                  <w:r>
                    <w:rPr>
                      <w:rFonts w:hint="eastAsia"/>
                      <w:spacing w:val="-8"/>
                      <w:szCs w:val="21"/>
                    </w:rPr>
                    <w:t>45</w:t>
                  </w:r>
                </w:p>
              </w:tc>
              <w:tc>
                <w:tcPr>
                  <w:tcW w:w="1119" w:type="dxa"/>
                  <w:tcBorders>
                    <w:top w:val="single" w:color="auto" w:sz="4" w:space="0"/>
                    <w:left w:val="single" w:color="auto" w:sz="4" w:space="0"/>
                    <w:bottom w:val="single" w:color="auto" w:sz="4" w:space="0"/>
                    <w:right w:val="single" w:color="auto" w:sz="4" w:space="0"/>
                  </w:tcBorders>
                  <w:vAlign w:val="center"/>
                </w:tcPr>
                <w:p>
                  <w:pPr>
                    <w:jc w:val="center"/>
                    <w:rPr>
                      <w:spacing w:val="-8"/>
                      <w:szCs w:val="21"/>
                    </w:rPr>
                  </w:pPr>
                  <w:r>
                    <w:rPr>
                      <w:rFonts w:hint="eastAsia"/>
                      <w:spacing w:val="-8"/>
                      <w:szCs w:val="21"/>
                    </w:rPr>
                    <w:t>100</w:t>
                  </w:r>
                </w:p>
              </w:tc>
            </w:tr>
          </w:tbl>
          <w:p>
            <w:pPr>
              <w:spacing w:before="120" w:beforeLines="50" w:line="360" w:lineRule="auto"/>
              <w:ind w:firstLine="480" w:firstLineChars="200"/>
              <w:rPr>
                <w:b/>
                <w:sz w:val="24"/>
              </w:rPr>
            </w:pPr>
            <w:r>
              <w:rPr>
                <w:rFonts w:hint="eastAsia"/>
                <w:sz w:val="24"/>
              </w:rPr>
              <w:t>滁州市第二污水处理厂最终排放执行《城镇污水处理厂污染物排放标准》（GB18918-2002）一级A标准，具体标准值见下表。</w:t>
            </w:r>
          </w:p>
          <w:p>
            <w:pPr>
              <w:spacing w:line="360" w:lineRule="auto"/>
              <w:jc w:val="center"/>
              <w:rPr>
                <w:b/>
                <w:sz w:val="24"/>
              </w:rPr>
            </w:pPr>
          </w:p>
          <w:p>
            <w:pPr>
              <w:spacing w:line="360" w:lineRule="auto"/>
              <w:jc w:val="center"/>
            </w:pPr>
            <w:r>
              <w:rPr>
                <w:b/>
                <w:sz w:val="24"/>
              </w:rPr>
              <w:t>表</w:t>
            </w:r>
            <w:r>
              <w:rPr>
                <w:rFonts w:hint="eastAsia"/>
                <w:b/>
                <w:sz w:val="24"/>
              </w:rPr>
              <w:t>3-14</w:t>
            </w:r>
            <w:r>
              <w:rPr>
                <w:b/>
                <w:sz w:val="24"/>
              </w:rPr>
              <w:t xml:space="preserve">   水污染物排放标准    </w:t>
            </w:r>
            <w:r>
              <w:rPr>
                <w:bCs/>
                <w:sz w:val="24"/>
              </w:rPr>
              <w:t>单位：mg/L</w:t>
            </w:r>
            <w:r>
              <w:rPr>
                <w:rFonts w:hint="eastAsia"/>
                <w:bCs/>
                <w:sz w:val="24"/>
              </w:rPr>
              <w:t xml:space="preserve">  </w:t>
            </w:r>
            <w:r>
              <w:rPr>
                <w:sz w:val="24"/>
              </w:rPr>
              <w:t>pH（无量纲）</w:t>
            </w:r>
          </w:p>
          <w:tbl>
            <w:tblPr>
              <w:tblStyle w:val="2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037"/>
              <w:gridCol w:w="1138"/>
              <w:gridCol w:w="1175"/>
              <w:gridCol w:w="1162"/>
              <w:gridCol w:w="1105"/>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项目</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pH</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COD</w:t>
                  </w: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SS</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TP</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氨氮</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排放标准</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6～9</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≤50</w:t>
                  </w: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≤10</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spacing w:val="-8"/>
                      <w:szCs w:val="21"/>
                    </w:rPr>
                  </w:pPr>
                  <w:r>
                    <w:rPr>
                      <w:spacing w:val="-8"/>
                      <w:szCs w:val="21"/>
                    </w:rPr>
                    <w:t>≤</w:t>
                  </w:r>
                  <w:r>
                    <w:rPr>
                      <w:rFonts w:hint="eastAsia"/>
                      <w:spacing w:val="-8"/>
                      <w:szCs w:val="21"/>
                    </w:rPr>
                    <w:t>0.5</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spacing w:val="-8"/>
                      <w:szCs w:val="21"/>
                    </w:rPr>
                  </w:pPr>
                  <w:r>
                    <w:rPr>
                      <w:spacing w:val="-8"/>
                      <w:szCs w:val="21"/>
                    </w:rPr>
                    <w:t>≤</w:t>
                  </w:r>
                  <w:r>
                    <w:rPr>
                      <w:rFonts w:hint="eastAsia"/>
                      <w:spacing w:val="-8"/>
                      <w:szCs w:val="21"/>
                    </w:rPr>
                    <w:t>5（8）</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pacing w:val="-8"/>
                      <w:szCs w:val="21"/>
                    </w:rPr>
                  </w:pPr>
                  <w:r>
                    <w:rPr>
                      <w:rFonts w:hint="eastAsia"/>
                      <w:spacing w:val="-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7938" w:type="dxa"/>
                  <w:gridSpan w:val="7"/>
                  <w:tcBorders>
                    <w:top w:val="single" w:color="auto" w:sz="4" w:space="0"/>
                    <w:left w:val="single" w:color="auto" w:sz="4" w:space="0"/>
                    <w:bottom w:val="single" w:color="auto" w:sz="4" w:space="0"/>
                    <w:right w:val="single" w:color="auto" w:sz="4" w:space="0"/>
                  </w:tcBorders>
                  <w:vAlign w:val="center"/>
                </w:tcPr>
                <w:p>
                  <w:pPr>
                    <w:jc w:val="center"/>
                    <w:rPr>
                      <w:spacing w:val="-8"/>
                      <w:szCs w:val="21"/>
                    </w:rPr>
                  </w:pPr>
                  <w:r>
                    <w:rPr>
                      <w:rFonts w:hint="eastAsia"/>
                      <w:spacing w:val="-8"/>
                      <w:szCs w:val="21"/>
                    </w:rPr>
                    <w:t>注：括号外数值为水温＞12℃时的控制指标，括号内数值为水温≤12℃时的控制指标。</w:t>
                  </w:r>
                </w:p>
              </w:tc>
            </w:tr>
          </w:tbl>
          <w:p>
            <w:pPr>
              <w:spacing w:before="120" w:beforeLines="50" w:line="360" w:lineRule="auto"/>
              <w:ind w:firstLine="482" w:firstLineChars="200"/>
              <w:jc w:val="left"/>
              <w:rPr>
                <w:b/>
                <w:sz w:val="24"/>
              </w:rPr>
            </w:pPr>
            <w:r>
              <w:rPr>
                <w:rFonts w:hint="eastAsia"/>
                <w:b/>
                <w:sz w:val="24"/>
              </w:rPr>
              <w:t>3、</w:t>
            </w:r>
            <w:r>
              <w:rPr>
                <w:b/>
                <w:sz w:val="24"/>
              </w:rPr>
              <w:t>噪声</w:t>
            </w:r>
          </w:p>
          <w:p>
            <w:pPr>
              <w:spacing w:line="360" w:lineRule="auto"/>
              <w:ind w:firstLine="480" w:firstLineChars="200"/>
              <w:jc w:val="left"/>
              <w:rPr>
                <w:b/>
                <w:bCs/>
                <w:sz w:val="24"/>
              </w:rPr>
            </w:pPr>
            <w:r>
              <w:rPr>
                <w:sz w:val="24"/>
              </w:rPr>
              <w:t>项目营运期各侧厂界噪声排放执行《工业企业厂界环境噪声排放标准》（GB12348-2008）中 3 类标准</w:t>
            </w:r>
            <w:r>
              <w:rPr>
                <w:rFonts w:hint="eastAsia"/>
                <w:sz w:val="24"/>
              </w:rPr>
              <w:t>要求</w:t>
            </w:r>
            <w:r>
              <w:rPr>
                <w:sz w:val="24"/>
              </w:rPr>
              <w:t>。</w:t>
            </w:r>
          </w:p>
          <w:p>
            <w:pPr>
              <w:adjustRightInd w:val="0"/>
              <w:snapToGrid w:val="0"/>
              <w:spacing w:line="360" w:lineRule="auto"/>
              <w:jc w:val="center"/>
              <w:rPr>
                <w:b/>
                <w:bCs/>
                <w:sz w:val="24"/>
              </w:rPr>
            </w:pPr>
            <w:r>
              <w:rPr>
                <w:b/>
                <w:bCs/>
                <w:sz w:val="24"/>
              </w:rPr>
              <w:t>表</w:t>
            </w:r>
            <w:r>
              <w:rPr>
                <w:rFonts w:hint="eastAsia"/>
                <w:b/>
                <w:bCs/>
                <w:sz w:val="24"/>
              </w:rPr>
              <w:t>3-15</w:t>
            </w:r>
            <w:r>
              <w:rPr>
                <w:b/>
                <w:bCs/>
                <w:sz w:val="24"/>
              </w:rPr>
              <w:t xml:space="preserve">  工业企业厂界环境噪声排放标准     单位：dB(A)</w:t>
            </w:r>
          </w:p>
          <w:tbl>
            <w:tblPr>
              <w:tblStyle w:val="2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4"/>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exact"/>
                <w:jc w:val="center"/>
              </w:trPr>
              <w:tc>
                <w:tcPr>
                  <w:tcW w:w="3614" w:type="dxa"/>
                  <w:vAlign w:val="center"/>
                </w:tcPr>
                <w:p>
                  <w:pPr>
                    <w:tabs>
                      <w:tab w:val="left" w:pos="2940"/>
                    </w:tabs>
                    <w:jc w:val="center"/>
                    <w:rPr>
                      <w:szCs w:val="21"/>
                      <w:lang w:val="zh-CN"/>
                    </w:rPr>
                  </w:pPr>
                  <w:r>
                    <w:rPr>
                      <w:szCs w:val="21"/>
                    </w:rPr>
                    <w:t>声环境功能区类别</w:t>
                  </w:r>
                </w:p>
              </w:tc>
              <w:tc>
                <w:tcPr>
                  <w:tcW w:w="4324" w:type="dxa"/>
                  <w:vAlign w:val="center"/>
                </w:tcPr>
                <w:p>
                  <w:pPr>
                    <w:tabs>
                      <w:tab w:val="left" w:pos="2940"/>
                    </w:tabs>
                    <w:jc w:val="center"/>
                    <w:rPr>
                      <w:szCs w:val="21"/>
                      <w:lang w:val="zh-CN"/>
                    </w:rPr>
                  </w:pPr>
                  <w:r>
                    <w:rPr>
                      <w:szCs w:val="21"/>
                      <w:lang w:val="zh-CN"/>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3614" w:type="dxa"/>
                  <w:vAlign w:val="center"/>
                </w:tcPr>
                <w:p>
                  <w:pPr>
                    <w:tabs>
                      <w:tab w:val="left" w:pos="2940"/>
                    </w:tabs>
                    <w:jc w:val="center"/>
                    <w:rPr>
                      <w:szCs w:val="21"/>
                      <w:lang w:val="zh-CN"/>
                    </w:rPr>
                  </w:pPr>
                  <w:r>
                    <w:rPr>
                      <w:szCs w:val="21"/>
                    </w:rPr>
                    <w:t>（GB12348-2008）中3类标准</w:t>
                  </w:r>
                </w:p>
              </w:tc>
              <w:tc>
                <w:tcPr>
                  <w:tcW w:w="4324" w:type="dxa"/>
                  <w:vAlign w:val="center"/>
                </w:tcPr>
                <w:p>
                  <w:pPr>
                    <w:tabs>
                      <w:tab w:val="left" w:pos="2940"/>
                    </w:tabs>
                    <w:jc w:val="center"/>
                    <w:rPr>
                      <w:szCs w:val="21"/>
                    </w:rPr>
                  </w:pPr>
                  <w:r>
                    <w:rPr>
                      <w:szCs w:val="21"/>
                    </w:rPr>
                    <w:t>65</w:t>
                  </w:r>
                </w:p>
              </w:tc>
            </w:tr>
          </w:tbl>
          <w:p>
            <w:pPr>
              <w:spacing w:before="120" w:beforeLines="50" w:line="360" w:lineRule="auto"/>
              <w:ind w:firstLine="482" w:firstLineChars="200"/>
              <w:jc w:val="left"/>
              <w:rPr>
                <w:b/>
                <w:sz w:val="24"/>
              </w:rPr>
            </w:pPr>
            <w:r>
              <w:rPr>
                <w:rFonts w:hint="eastAsia"/>
                <w:b/>
                <w:sz w:val="24"/>
              </w:rPr>
              <w:t>4、</w:t>
            </w:r>
            <w:r>
              <w:rPr>
                <w:b/>
                <w:sz w:val="24"/>
              </w:rPr>
              <w:t>固体废物</w:t>
            </w:r>
          </w:p>
          <w:p>
            <w:pPr>
              <w:spacing w:line="360" w:lineRule="auto"/>
              <w:ind w:firstLine="480" w:firstLineChars="200"/>
              <w:rPr>
                <w:sz w:val="24"/>
              </w:rPr>
            </w:pPr>
            <w:r>
              <w:rPr>
                <w:sz w:val="24"/>
              </w:rPr>
              <w:t>一般固体废物执行《中华人民共和国固体废物污染环境防治法》、《一般工业固体废物贮存和填埋污染控制标准》（GB18599-2020）。</w:t>
            </w:r>
          </w:p>
          <w:p>
            <w:pPr>
              <w:tabs>
                <w:tab w:val="left" w:pos="840"/>
              </w:tabs>
              <w:spacing w:line="360" w:lineRule="auto"/>
              <w:ind w:firstLine="480" w:firstLineChars="200"/>
            </w:pPr>
            <w:r>
              <w:rPr>
                <w:sz w:val="24"/>
              </w:rPr>
              <w:t>危险固废厂内暂存执行《危险废物贮存污染控制标准》（GB18597-2001）其修改单（公告2013年第36号）的有关规定要求。危险废物的转移须严格按照《危险废物转移联单管理办法》执行。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90" w:type="dxa"/>
            <w:vAlign w:val="center"/>
          </w:tcPr>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总</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量</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控</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制</w:t>
            </w:r>
          </w:p>
          <w:p>
            <w:pPr>
              <w:adjustRightInd w:val="0"/>
              <w:snapToGrid w:val="0"/>
              <w:spacing w:line="480" w:lineRule="auto"/>
              <w:jc w:val="center"/>
              <w:rPr>
                <w:rFonts w:ascii="宋体" w:hAnsi="宋体" w:cs="宋体"/>
                <w:kern w:val="0"/>
                <w:sz w:val="28"/>
                <w:szCs w:val="28"/>
              </w:rPr>
            </w:pPr>
            <w:r>
              <w:rPr>
                <w:rFonts w:hint="eastAsia" w:ascii="宋体" w:hAnsi="宋体" w:cs="宋体"/>
                <w:kern w:val="0"/>
                <w:sz w:val="28"/>
                <w:szCs w:val="28"/>
              </w:rPr>
              <w:t>指</w:t>
            </w:r>
          </w:p>
          <w:p>
            <w:pPr>
              <w:adjustRightInd w:val="0"/>
              <w:snapToGrid w:val="0"/>
              <w:spacing w:line="480" w:lineRule="auto"/>
              <w:jc w:val="center"/>
              <w:rPr>
                <w:rFonts w:ascii="宋体" w:hAnsi="宋体" w:cs="宋体"/>
                <w:kern w:val="0"/>
                <w:szCs w:val="21"/>
              </w:rPr>
            </w:pPr>
            <w:r>
              <w:rPr>
                <w:rFonts w:hint="eastAsia" w:ascii="宋体" w:hAnsi="宋体" w:cs="宋体"/>
                <w:kern w:val="0"/>
                <w:sz w:val="28"/>
                <w:szCs w:val="28"/>
              </w:rPr>
              <w:t>标</w:t>
            </w:r>
          </w:p>
        </w:tc>
        <w:tc>
          <w:tcPr>
            <w:tcW w:w="8500" w:type="dxa"/>
            <w:vAlign w:val="center"/>
          </w:tcPr>
          <w:p>
            <w:pPr>
              <w:spacing w:line="360" w:lineRule="auto"/>
              <w:ind w:firstLine="480" w:firstLineChars="200"/>
              <w:rPr>
                <w:sz w:val="24"/>
              </w:rPr>
            </w:pPr>
          </w:p>
          <w:p>
            <w:pPr>
              <w:spacing w:line="360" w:lineRule="auto"/>
              <w:ind w:firstLine="480" w:firstLineChars="200"/>
              <w:rPr>
                <w:sz w:val="24"/>
              </w:rPr>
            </w:pPr>
            <w:r>
              <w:rPr>
                <w:sz w:val="24"/>
              </w:rPr>
              <w:t>根据国家环境保护“十三五”规划及《安徽省环保厅关于进一步加强建设项目新增大气主要污染物总量指标管理工作的通知》（皖环发[2017]19号），以SO</w:t>
            </w:r>
            <w:r>
              <w:rPr>
                <w:sz w:val="24"/>
                <w:vertAlign w:val="subscript"/>
              </w:rPr>
              <w:t>2</w:t>
            </w:r>
            <w:r>
              <w:rPr>
                <w:sz w:val="24"/>
              </w:rPr>
              <w:t>、氮氧化物、COD、氨氮、</w:t>
            </w:r>
            <w:r>
              <w:rPr>
                <w:rFonts w:hint="eastAsia"/>
                <w:sz w:val="24"/>
              </w:rPr>
              <w:t>颗粒物</w:t>
            </w:r>
            <w:r>
              <w:rPr>
                <w:sz w:val="24"/>
              </w:rPr>
              <w:t>、VOCs作为评价项目总量控制的对象。</w:t>
            </w:r>
          </w:p>
          <w:p>
            <w:pPr>
              <w:snapToGrid w:val="0"/>
              <w:spacing w:line="360" w:lineRule="auto"/>
              <w:ind w:firstLine="480" w:firstLineChars="200"/>
              <w:rPr>
                <w:sz w:val="24"/>
              </w:rPr>
            </w:pPr>
            <w:r>
              <w:rPr>
                <w:rFonts w:hint="eastAsia"/>
                <w:sz w:val="24"/>
              </w:rPr>
              <w:t>本项目：</w:t>
            </w:r>
          </w:p>
          <w:p>
            <w:pPr>
              <w:spacing w:line="360" w:lineRule="auto"/>
              <w:ind w:firstLine="480" w:firstLineChars="200"/>
              <w:jc w:val="left"/>
              <w:rPr>
                <w:sz w:val="24"/>
              </w:rPr>
            </w:pPr>
            <w:r>
              <w:rPr>
                <w:rFonts w:hint="eastAsia"/>
                <w:sz w:val="24"/>
              </w:rPr>
              <w:t>本项目废气总量控制因子为颗粒物、VOCs。总量控制指标为颗粒物：0.056t/a，VOCs:0.123t/a。总量在区域内平衡。</w:t>
            </w:r>
          </w:p>
          <w:p>
            <w:pPr>
              <w:spacing w:line="360" w:lineRule="auto"/>
              <w:ind w:firstLine="480" w:firstLineChars="200"/>
              <w:jc w:val="left"/>
              <w:rPr>
                <w:rFonts w:hint="eastAsia"/>
                <w:sz w:val="24"/>
              </w:rPr>
            </w:pPr>
            <w:r>
              <w:rPr>
                <w:rFonts w:hint="eastAsia"/>
                <w:sz w:val="24"/>
              </w:rPr>
              <w:t>本项目废水总量控制因子为COD和氨氮，排放总量控制指标为COD：0.737t/a，NH</w:t>
            </w:r>
            <w:r>
              <w:rPr>
                <w:rFonts w:hint="eastAsia"/>
                <w:sz w:val="24"/>
                <w:vertAlign w:val="subscript"/>
              </w:rPr>
              <w:t>3</w:t>
            </w:r>
            <w:r>
              <w:rPr>
                <w:rFonts w:hint="eastAsia"/>
                <w:sz w:val="24"/>
              </w:rPr>
              <w:t>-N：0.0143t/a；废水经预处理后排放至滁州第二污水处理厂进行处</w:t>
            </w:r>
          </w:p>
          <w:p>
            <w:pPr>
              <w:spacing w:line="360" w:lineRule="auto"/>
              <w:ind w:firstLine="480" w:firstLineChars="200"/>
              <w:rPr>
                <w:sz w:val="24"/>
              </w:rPr>
            </w:pPr>
            <w:r>
              <w:rPr>
                <w:rFonts w:hint="eastAsia"/>
                <w:sz w:val="24"/>
              </w:rPr>
              <w:t>理，总量在污水处理厂内平衡。</w:t>
            </w:r>
          </w:p>
          <w:p>
            <w:pPr>
              <w:spacing w:line="360" w:lineRule="auto"/>
              <w:ind w:firstLine="420" w:firstLineChars="200"/>
              <w:jc w:val="left"/>
            </w:pPr>
          </w:p>
        </w:tc>
      </w:tr>
    </w:tbl>
    <w:p>
      <w:pPr>
        <w:pStyle w:val="19"/>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22"/>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3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511" w:type="dxa"/>
            <w:tcMar>
              <w:left w:w="28" w:type="dxa"/>
              <w:right w:w="28" w:type="dxa"/>
            </w:tcMar>
            <w:vAlign w:val="center"/>
          </w:tcPr>
          <w:p>
            <w:pPr>
              <w:pStyle w:val="19"/>
              <w:adjustRightInd w:val="0"/>
              <w:snapToGrid w:val="0"/>
              <w:spacing w:before="0" w:beforeAutospacing="0" w:after="0" w:afterAutospacing="0"/>
              <w:jc w:val="center"/>
              <w:rPr>
                <w:rFonts w:cs="宋体"/>
                <w:kern w:val="2"/>
                <w:sz w:val="28"/>
                <w:szCs w:val="28"/>
              </w:rPr>
            </w:pPr>
            <w:r>
              <w:rPr>
                <w:rFonts w:hint="eastAsia" w:cs="宋体"/>
                <w:kern w:val="2"/>
                <w:sz w:val="28"/>
                <w:szCs w:val="28"/>
              </w:rPr>
              <w:t>施</w:t>
            </w:r>
          </w:p>
          <w:p>
            <w:pPr>
              <w:pStyle w:val="19"/>
              <w:adjustRightInd w:val="0"/>
              <w:snapToGrid w:val="0"/>
              <w:spacing w:before="0" w:beforeAutospacing="0" w:after="0" w:afterAutospacing="0"/>
              <w:jc w:val="center"/>
              <w:rPr>
                <w:rFonts w:cs="宋体"/>
                <w:kern w:val="2"/>
                <w:sz w:val="28"/>
                <w:szCs w:val="28"/>
              </w:rPr>
            </w:pPr>
            <w:r>
              <w:rPr>
                <w:rFonts w:hint="eastAsia" w:cs="宋体"/>
                <w:kern w:val="2"/>
                <w:sz w:val="28"/>
                <w:szCs w:val="28"/>
              </w:rPr>
              <w:t>工</w:t>
            </w:r>
          </w:p>
          <w:p>
            <w:pPr>
              <w:pStyle w:val="19"/>
              <w:adjustRightInd w:val="0"/>
              <w:snapToGrid w:val="0"/>
              <w:spacing w:before="0" w:beforeAutospacing="0" w:after="0" w:afterAutospacing="0"/>
              <w:jc w:val="center"/>
              <w:rPr>
                <w:rFonts w:cs="宋体"/>
                <w:kern w:val="2"/>
                <w:sz w:val="28"/>
                <w:szCs w:val="28"/>
              </w:rPr>
            </w:pPr>
            <w:r>
              <w:rPr>
                <w:rFonts w:hint="eastAsia" w:cs="宋体"/>
                <w:kern w:val="2"/>
                <w:sz w:val="28"/>
                <w:szCs w:val="28"/>
              </w:rPr>
              <w:t>期</w:t>
            </w:r>
          </w:p>
          <w:p>
            <w:pPr>
              <w:pStyle w:val="19"/>
              <w:adjustRightInd w:val="0"/>
              <w:snapToGrid w:val="0"/>
              <w:spacing w:before="0" w:beforeAutospacing="0" w:after="0" w:afterAutospacing="0"/>
              <w:jc w:val="center"/>
              <w:rPr>
                <w:rFonts w:cs="宋体"/>
                <w:kern w:val="2"/>
                <w:sz w:val="28"/>
                <w:szCs w:val="28"/>
              </w:rPr>
            </w:pPr>
            <w:r>
              <w:rPr>
                <w:rFonts w:hint="eastAsia" w:cs="宋体"/>
                <w:kern w:val="2"/>
                <w:sz w:val="28"/>
                <w:szCs w:val="28"/>
              </w:rPr>
              <w:t>环</w:t>
            </w:r>
          </w:p>
          <w:p>
            <w:pPr>
              <w:pStyle w:val="19"/>
              <w:adjustRightInd w:val="0"/>
              <w:snapToGrid w:val="0"/>
              <w:spacing w:before="0" w:beforeAutospacing="0" w:after="0" w:afterAutospacing="0"/>
              <w:jc w:val="center"/>
              <w:rPr>
                <w:rFonts w:cs="宋体"/>
                <w:kern w:val="2"/>
                <w:sz w:val="28"/>
                <w:szCs w:val="28"/>
              </w:rPr>
            </w:pPr>
            <w:r>
              <w:rPr>
                <w:rFonts w:hint="eastAsia" w:cs="宋体"/>
                <w:kern w:val="2"/>
                <w:sz w:val="28"/>
                <w:szCs w:val="28"/>
              </w:rPr>
              <w:t>境</w:t>
            </w:r>
          </w:p>
          <w:p>
            <w:pPr>
              <w:pStyle w:val="19"/>
              <w:adjustRightInd w:val="0"/>
              <w:snapToGrid w:val="0"/>
              <w:spacing w:before="0" w:beforeAutospacing="0" w:after="0" w:afterAutospacing="0"/>
              <w:jc w:val="center"/>
              <w:rPr>
                <w:rFonts w:cs="宋体"/>
                <w:kern w:val="2"/>
                <w:sz w:val="28"/>
                <w:szCs w:val="28"/>
              </w:rPr>
            </w:pPr>
            <w:r>
              <w:rPr>
                <w:rFonts w:hint="eastAsia" w:cs="宋体"/>
                <w:kern w:val="2"/>
                <w:sz w:val="28"/>
                <w:szCs w:val="28"/>
              </w:rPr>
              <w:t>保</w:t>
            </w:r>
          </w:p>
          <w:p>
            <w:pPr>
              <w:pStyle w:val="19"/>
              <w:adjustRightInd w:val="0"/>
              <w:snapToGrid w:val="0"/>
              <w:spacing w:before="0" w:beforeAutospacing="0" w:after="0" w:afterAutospacing="0"/>
              <w:jc w:val="center"/>
              <w:rPr>
                <w:rFonts w:cs="宋体"/>
                <w:kern w:val="2"/>
                <w:sz w:val="28"/>
                <w:szCs w:val="28"/>
              </w:rPr>
            </w:pPr>
            <w:r>
              <w:rPr>
                <w:rFonts w:hint="eastAsia" w:cs="宋体"/>
                <w:kern w:val="2"/>
                <w:sz w:val="28"/>
                <w:szCs w:val="28"/>
              </w:rPr>
              <w:t>护</w:t>
            </w:r>
          </w:p>
          <w:p>
            <w:pPr>
              <w:pStyle w:val="19"/>
              <w:adjustRightInd w:val="0"/>
              <w:snapToGrid w:val="0"/>
              <w:spacing w:before="0" w:beforeAutospacing="0" w:after="0" w:afterAutospacing="0"/>
              <w:jc w:val="center"/>
              <w:rPr>
                <w:rFonts w:cs="宋体"/>
                <w:kern w:val="2"/>
                <w:sz w:val="28"/>
                <w:szCs w:val="28"/>
              </w:rPr>
            </w:pPr>
            <w:r>
              <w:rPr>
                <w:rFonts w:hint="eastAsia" w:cs="宋体"/>
                <w:kern w:val="2"/>
                <w:sz w:val="28"/>
                <w:szCs w:val="28"/>
              </w:rPr>
              <w:t>措</w:t>
            </w:r>
          </w:p>
          <w:p>
            <w:pPr>
              <w:pStyle w:val="19"/>
              <w:adjustRightInd w:val="0"/>
              <w:snapToGrid w:val="0"/>
              <w:spacing w:before="0" w:beforeAutospacing="0" w:after="0" w:afterAutospacing="0"/>
              <w:jc w:val="center"/>
              <w:rPr>
                <w:rFonts w:cs="宋体"/>
                <w:bCs/>
                <w:kern w:val="2"/>
                <w:sz w:val="28"/>
                <w:szCs w:val="28"/>
              </w:rPr>
            </w:pPr>
            <w:r>
              <w:rPr>
                <w:rFonts w:hint="eastAsia" w:cs="宋体"/>
                <w:kern w:val="2"/>
                <w:sz w:val="28"/>
                <w:szCs w:val="28"/>
              </w:rPr>
              <w:t>施</w:t>
            </w:r>
          </w:p>
        </w:tc>
        <w:tc>
          <w:tcPr>
            <w:tcW w:w="8397" w:type="dxa"/>
            <w:vAlign w:val="center"/>
          </w:tcPr>
          <w:p>
            <w:pPr>
              <w:adjustRightInd w:val="0"/>
              <w:snapToGrid w:val="0"/>
              <w:spacing w:line="360" w:lineRule="auto"/>
              <w:ind w:firstLine="480" w:firstLineChars="200"/>
              <w:rPr>
                <w:sz w:val="24"/>
              </w:rPr>
            </w:pPr>
            <w:r>
              <w:rPr>
                <w:sz w:val="24"/>
              </w:rPr>
              <w:t>项目位于</w:t>
            </w:r>
            <w:r>
              <w:rPr>
                <w:rFonts w:hint="eastAsia" w:hAnsi="宋体"/>
                <w:sz w:val="24"/>
              </w:rPr>
              <w:t>滁州市苏滁产业园常州南路611号</w:t>
            </w:r>
            <w:r>
              <w:rPr>
                <w:sz w:val="24"/>
              </w:rPr>
              <w:t>，</w:t>
            </w:r>
            <w:r>
              <w:rPr>
                <w:rFonts w:hint="eastAsia"/>
                <w:sz w:val="24"/>
              </w:rPr>
              <w:t>厂房已建成，</w:t>
            </w:r>
            <w:r>
              <w:rPr>
                <w:sz w:val="24"/>
              </w:rPr>
              <w:t>只要进行简单的设备安装，施工时间短，对外环节影响小，具体如下：</w:t>
            </w:r>
          </w:p>
          <w:p>
            <w:pPr>
              <w:adjustRightInd w:val="0"/>
              <w:snapToGrid w:val="0"/>
              <w:spacing w:line="360" w:lineRule="auto"/>
              <w:ind w:firstLine="480" w:firstLineChars="200"/>
              <w:rPr>
                <w:sz w:val="24"/>
              </w:rPr>
            </w:pPr>
            <w:r>
              <w:rPr>
                <w:sz w:val="24"/>
              </w:rPr>
              <w:t>装修及设备安装主要是装卸材料和切割材料时产生的噪声，混合噪声级约为100 dB(A)，此阶段主要在室内进行，噪声经过长距离衰减因此对周边声环境影响较小。由于不要进行土建，在施工期大于天气不会造成水土流失，因此无施工期含大量悬浮固体的雨水产生；项目施工期废水排放主要是施工现场人员的生活污水，纳入厂内现有的生活污水管网，经化粪池处理后排入市政管网，由滁州市第二污水处理厂处理达标后排入清流河，由于装修及设备安装的工人较少，废水产生量较少且得到有效处置，对地表水环境影响较小。施工期产生的固体废物主要是废弃的装修材料、设备安装材料包装箱、包装袋和生活垃圾等。以上垃圾由环卫统一清运处置，不会对周围环境产生较大影响。</w:t>
            </w:r>
          </w:p>
          <w:p>
            <w:pPr>
              <w:adjustRightInd w:val="0"/>
              <w:snapToGrid w:val="0"/>
              <w:spacing w:line="360" w:lineRule="auto"/>
              <w:ind w:firstLine="480" w:firstLineChars="200"/>
              <w:jc w:val="left"/>
              <w:rPr>
                <w:rFonts w:ascii="宋体" w:hAnsi="宋体" w:cs="宋体"/>
                <w:bCs/>
                <w:spacing w:val="-10"/>
                <w:szCs w:val="21"/>
              </w:rPr>
            </w:pPr>
            <w:r>
              <w:rPr>
                <w:sz w:val="24"/>
              </w:rPr>
              <w:t>综上，项目施工期在采取各项污染物防治措施后，对周围环境影响较小，随着施工期的结束，这些因素都会随之消失。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511" w:type="dxa"/>
            <w:tcMar>
              <w:left w:w="28" w:type="dxa"/>
              <w:right w:w="28" w:type="dxa"/>
            </w:tcMar>
            <w:vAlign w:val="center"/>
          </w:tcPr>
          <w:p>
            <w:pPr>
              <w:adjustRightInd w:val="0"/>
              <w:snapToGrid w:val="0"/>
              <w:jc w:val="center"/>
              <w:rPr>
                <w:rFonts w:ascii="宋体" w:hAnsi="宋体" w:cs="宋体"/>
                <w:bCs/>
                <w:sz w:val="28"/>
                <w:szCs w:val="28"/>
              </w:rPr>
            </w:pPr>
            <w:r>
              <w:rPr>
                <w:rFonts w:hint="eastAsia" w:ascii="宋体" w:hAnsi="宋体" w:cs="宋体"/>
                <w:bCs/>
                <w:sz w:val="28"/>
                <w:szCs w:val="28"/>
              </w:rPr>
              <w:t>运营</w:t>
            </w:r>
          </w:p>
          <w:p>
            <w:pPr>
              <w:adjustRightInd w:val="0"/>
              <w:snapToGrid w:val="0"/>
              <w:jc w:val="center"/>
              <w:rPr>
                <w:rFonts w:ascii="宋体" w:hAnsi="宋体" w:cs="宋体"/>
                <w:bCs/>
                <w:sz w:val="28"/>
                <w:szCs w:val="28"/>
              </w:rPr>
            </w:pPr>
            <w:r>
              <w:rPr>
                <w:rFonts w:hint="eastAsia" w:ascii="宋体" w:hAnsi="宋体" w:cs="宋体"/>
                <w:bCs/>
                <w:sz w:val="28"/>
                <w:szCs w:val="28"/>
              </w:rPr>
              <w:t>期环</w:t>
            </w:r>
          </w:p>
          <w:p>
            <w:pPr>
              <w:adjustRightInd w:val="0"/>
              <w:snapToGrid w:val="0"/>
              <w:jc w:val="center"/>
              <w:rPr>
                <w:rFonts w:ascii="宋体" w:hAnsi="宋体" w:cs="宋体"/>
                <w:bCs/>
                <w:sz w:val="28"/>
                <w:szCs w:val="28"/>
              </w:rPr>
            </w:pPr>
            <w:r>
              <w:rPr>
                <w:rFonts w:hint="eastAsia" w:ascii="宋体" w:hAnsi="宋体" w:cs="宋体"/>
                <w:bCs/>
                <w:sz w:val="28"/>
                <w:szCs w:val="28"/>
              </w:rPr>
              <w:t>境影</w:t>
            </w:r>
          </w:p>
          <w:p>
            <w:pPr>
              <w:adjustRightInd w:val="0"/>
              <w:snapToGrid w:val="0"/>
              <w:jc w:val="center"/>
              <w:rPr>
                <w:rFonts w:ascii="宋体" w:hAnsi="宋体" w:cs="宋体"/>
                <w:bCs/>
                <w:sz w:val="28"/>
                <w:szCs w:val="28"/>
              </w:rPr>
            </w:pPr>
            <w:r>
              <w:rPr>
                <w:rFonts w:hint="eastAsia" w:ascii="宋体" w:hAnsi="宋体" w:cs="宋体"/>
                <w:bCs/>
                <w:sz w:val="28"/>
                <w:szCs w:val="28"/>
              </w:rPr>
              <w:t>响和</w:t>
            </w:r>
          </w:p>
          <w:p>
            <w:pPr>
              <w:adjustRightInd w:val="0"/>
              <w:snapToGrid w:val="0"/>
              <w:jc w:val="center"/>
              <w:rPr>
                <w:rFonts w:ascii="宋体" w:hAnsi="宋体" w:cs="宋体"/>
                <w:bCs/>
                <w:sz w:val="28"/>
                <w:szCs w:val="28"/>
              </w:rPr>
            </w:pPr>
            <w:r>
              <w:rPr>
                <w:rFonts w:hint="eastAsia" w:ascii="宋体" w:hAnsi="宋体" w:cs="宋体"/>
                <w:bCs/>
                <w:sz w:val="28"/>
                <w:szCs w:val="28"/>
              </w:rPr>
              <w:t>保护</w:t>
            </w:r>
          </w:p>
          <w:p>
            <w:pPr>
              <w:adjustRightInd w:val="0"/>
              <w:snapToGrid w:val="0"/>
              <w:jc w:val="center"/>
              <w:rPr>
                <w:rFonts w:ascii="宋体" w:hAnsi="宋体" w:cs="宋体"/>
                <w:bCs/>
                <w:sz w:val="28"/>
                <w:szCs w:val="28"/>
              </w:rPr>
            </w:pPr>
            <w:r>
              <w:rPr>
                <w:rFonts w:hint="eastAsia" w:ascii="宋体" w:hAnsi="宋体" w:cs="宋体"/>
                <w:bCs/>
                <w:sz w:val="28"/>
                <w:szCs w:val="28"/>
              </w:rPr>
              <w:t>措施</w:t>
            </w:r>
          </w:p>
        </w:tc>
        <w:tc>
          <w:tcPr>
            <w:tcW w:w="8397" w:type="dxa"/>
            <w:vAlign w:val="center"/>
          </w:tcPr>
          <w:p>
            <w:pPr>
              <w:adjustRightInd w:val="0"/>
              <w:snapToGrid w:val="0"/>
              <w:rPr>
                <w:rFonts w:ascii="宋体" w:hAnsi="宋体" w:cs="宋体"/>
                <w:bCs/>
                <w:spacing w:val="-10"/>
                <w:szCs w:val="21"/>
              </w:rPr>
            </w:pPr>
          </w:p>
          <w:p>
            <w:pPr>
              <w:pStyle w:val="46"/>
              <w:snapToGrid w:val="0"/>
              <w:spacing w:line="360" w:lineRule="auto"/>
              <w:ind w:firstLine="482" w:firstLineChars="200"/>
              <w:rPr>
                <w:b/>
                <w:bCs/>
                <w:sz w:val="24"/>
                <w:lang w:eastAsia="zh-CN"/>
              </w:rPr>
            </w:pPr>
            <w:r>
              <w:rPr>
                <w:rFonts w:hint="eastAsia"/>
                <w:b/>
                <w:bCs/>
                <w:sz w:val="24"/>
                <w:lang w:eastAsia="zh-CN"/>
              </w:rPr>
              <w:t>一、废气</w:t>
            </w:r>
          </w:p>
          <w:p>
            <w:pPr>
              <w:adjustRightInd w:val="0"/>
              <w:snapToGrid w:val="0"/>
              <w:spacing w:line="360" w:lineRule="auto"/>
              <w:ind w:firstLine="482" w:firstLineChars="200"/>
              <w:rPr>
                <w:b/>
                <w:bCs/>
                <w:sz w:val="24"/>
              </w:rPr>
            </w:pPr>
            <w:r>
              <w:rPr>
                <w:rFonts w:hint="eastAsia"/>
                <w:b/>
                <w:bCs/>
                <w:sz w:val="24"/>
              </w:rPr>
              <w:t>1、废气污染源强分析</w:t>
            </w:r>
          </w:p>
          <w:p>
            <w:pPr>
              <w:adjustRightInd w:val="0"/>
              <w:snapToGrid w:val="0"/>
              <w:spacing w:line="360" w:lineRule="auto"/>
              <w:ind w:firstLine="440" w:firstLineChars="200"/>
              <w:rPr>
                <w:bCs/>
                <w:spacing w:val="-10"/>
                <w:sz w:val="24"/>
              </w:rPr>
            </w:pPr>
            <w:r>
              <w:rPr>
                <w:bCs/>
                <w:spacing w:val="-10"/>
                <w:sz w:val="24"/>
              </w:rPr>
              <w:t>本项目生产过程中产生的废气主要为片材制作产生的有机废气（G1-1）、吸塑产生的有机废气（G1-2）</w:t>
            </w:r>
            <w:r>
              <w:rPr>
                <w:rFonts w:hint="eastAsia"/>
                <w:bCs/>
                <w:spacing w:val="-10"/>
                <w:sz w:val="24"/>
              </w:rPr>
              <w:t>、注塑产生的有机废气（G2-1）、注塑吹塑产生的有机废气（G3-1）、粉碎产生破碎粉尘（G4-1）、生产过程产生的水蒸气。</w:t>
            </w:r>
          </w:p>
          <w:p>
            <w:pPr>
              <w:adjustRightInd w:val="0"/>
              <w:snapToGrid w:val="0"/>
              <w:spacing w:line="360" w:lineRule="auto"/>
              <w:ind w:firstLine="440" w:firstLineChars="200"/>
              <w:rPr>
                <w:bCs/>
                <w:spacing w:val="-10"/>
                <w:sz w:val="24"/>
              </w:rPr>
            </w:pPr>
            <w:r>
              <w:rPr>
                <w:rFonts w:hint="eastAsia"/>
                <w:bCs/>
                <w:spacing w:val="-10"/>
                <w:sz w:val="24"/>
              </w:rPr>
              <w:t>（1）有机废气</w:t>
            </w:r>
          </w:p>
          <w:p>
            <w:pPr>
              <w:adjustRightInd w:val="0"/>
              <w:snapToGrid w:val="0"/>
              <w:spacing w:line="360" w:lineRule="auto"/>
              <w:ind w:firstLine="440" w:firstLineChars="200"/>
              <w:rPr>
                <w:bCs/>
                <w:spacing w:val="-10"/>
                <w:sz w:val="24"/>
              </w:rPr>
            </w:pPr>
            <w:r>
              <w:rPr>
                <w:rFonts w:hint="eastAsia"/>
                <w:bCs/>
                <w:spacing w:val="-10"/>
                <w:sz w:val="24"/>
              </w:rPr>
              <w:t>①片材制作、吸塑：本项目塑料胶盒生产过程中，使用到的塑料颗粒用量为1400t，工作温度约200℃，</w:t>
            </w:r>
            <w:r>
              <w:rPr>
                <w:sz w:val="24"/>
              </w:rPr>
              <w:t>根据《空气污染物排放和控制手册》（美国国家环保局）中推荐的公式和本项目物料实际使用量计算非甲烷总烃产生量，该手册认为在无控制措施时，非甲烷总烃的排放系数为0.35kg/t 树脂原料。</w:t>
            </w:r>
            <w:r>
              <w:rPr>
                <w:rFonts w:hint="eastAsia"/>
                <w:sz w:val="24"/>
              </w:rPr>
              <w:t>因片材制作和吸塑均需高温加热，故本次环评计算两次废气量，则产生的非甲烷总烃量为0.98t/a。</w:t>
            </w:r>
          </w:p>
          <w:p>
            <w:pPr>
              <w:adjustRightInd w:val="0"/>
              <w:snapToGrid w:val="0"/>
              <w:spacing w:line="360" w:lineRule="auto"/>
              <w:ind w:firstLine="440" w:firstLineChars="200"/>
              <w:rPr>
                <w:sz w:val="24"/>
              </w:rPr>
            </w:pPr>
            <w:r>
              <w:rPr>
                <w:bCs/>
                <w:spacing w:val="-10"/>
                <w:sz w:val="24"/>
              </w:rPr>
              <w:t>②</w:t>
            </w:r>
            <w:r>
              <w:rPr>
                <w:rFonts w:hint="eastAsia"/>
                <w:bCs/>
                <w:spacing w:val="-10"/>
                <w:sz w:val="24"/>
              </w:rPr>
              <w:t>注塑：本项目瓶盖生产过程，使用到的塑料颗粒量为200t，</w:t>
            </w:r>
            <w:r>
              <w:rPr>
                <w:sz w:val="24"/>
              </w:rPr>
              <w:t>根据《空气污染物排放和控制手册》（美国国家环保局）中推荐的公式和本项目物料实际使用量计算非甲烷总烃产生量，该手册认为在无控制措施时，非甲烷总烃的排放系</w:t>
            </w:r>
          </w:p>
          <w:p>
            <w:pPr>
              <w:adjustRightInd w:val="0"/>
              <w:snapToGrid w:val="0"/>
              <w:spacing w:line="360" w:lineRule="auto"/>
              <w:rPr>
                <w:sz w:val="24"/>
              </w:rPr>
            </w:pPr>
            <w:r>
              <w:rPr>
                <w:sz w:val="24"/>
              </w:rPr>
              <w:t>数为0.35kg/t 树脂原料。</w:t>
            </w:r>
            <w:r>
              <w:rPr>
                <w:rFonts w:hint="eastAsia"/>
                <w:sz w:val="24"/>
              </w:rPr>
              <w:t>则产生的非甲烷总烃量为0.07t/a。</w:t>
            </w:r>
          </w:p>
          <w:p>
            <w:pPr>
              <w:adjustRightInd w:val="0"/>
              <w:snapToGrid w:val="0"/>
              <w:spacing w:line="360" w:lineRule="auto"/>
              <w:ind w:firstLine="480" w:firstLineChars="200"/>
              <w:rPr>
                <w:sz w:val="24"/>
              </w:rPr>
            </w:pPr>
            <w:r>
              <w:rPr>
                <w:rFonts w:hint="eastAsia"/>
                <w:sz w:val="24"/>
              </w:rPr>
              <w:t>③注塑吹塑：项目瓶身生产过程使用的塑料颗粒量为900t，</w:t>
            </w:r>
            <w:r>
              <w:rPr>
                <w:sz w:val="24"/>
              </w:rPr>
              <w:t>根据《空气污染物排放和控制手册》（美国国家环保局）中推荐的公式和本项目物料实际使用量计算非甲烷总烃产生量，该手册认为在无控制措施时，非甲烷总烃的排放系数为0.35kg/t 树脂原料。</w:t>
            </w:r>
            <w:r>
              <w:rPr>
                <w:rFonts w:hint="eastAsia"/>
                <w:sz w:val="24"/>
              </w:rPr>
              <w:t>则产生的非甲烷总烃量为0.315t/a。</w:t>
            </w:r>
          </w:p>
          <w:p>
            <w:pPr>
              <w:spacing w:line="360" w:lineRule="auto"/>
              <w:ind w:firstLine="480" w:firstLineChars="200"/>
              <w:rPr>
                <w:sz w:val="24"/>
              </w:rPr>
            </w:pPr>
            <w:r>
              <w:rPr>
                <w:rFonts w:hint="eastAsia"/>
                <w:sz w:val="24"/>
              </w:rPr>
              <w:t>建设单位拟对片材机、注塑机、吹塑机、吸塑机采用集气罩收集+二级活性炭吸附装置处理，</w:t>
            </w:r>
            <w:r>
              <w:rPr>
                <w:sz w:val="24"/>
              </w:rPr>
              <w:t>处理后的有机废气通过15m高的排气筒（</w:t>
            </w:r>
            <w:r>
              <w:rPr>
                <w:rFonts w:hint="eastAsia"/>
                <w:sz w:val="24"/>
              </w:rPr>
              <w:t>2</w:t>
            </w:r>
            <w:r>
              <w:rPr>
                <w:sz w:val="24"/>
              </w:rPr>
              <w:t>#，内径为 0.5m）排放。</w:t>
            </w:r>
          </w:p>
          <w:p>
            <w:pPr>
              <w:spacing w:line="360" w:lineRule="auto"/>
              <w:ind w:firstLine="480" w:firstLineChars="200"/>
              <w:rPr>
                <w:sz w:val="24"/>
              </w:rPr>
            </w:pPr>
            <w:r>
              <w:rPr>
                <w:sz w:val="24"/>
              </w:rPr>
              <w:t>根据本项目的实际情况，项目</w:t>
            </w:r>
            <w:r>
              <w:rPr>
                <w:rFonts w:hint="eastAsia"/>
                <w:sz w:val="24"/>
              </w:rPr>
              <w:t>2#</w:t>
            </w:r>
            <w:r>
              <w:rPr>
                <w:sz w:val="24"/>
              </w:rPr>
              <w:t>生产厂房</w:t>
            </w:r>
            <w:r>
              <w:rPr>
                <w:rFonts w:hint="eastAsia"/>
                <w:sz w:val="24"/>
              </w:rPr>
              <w:t>1F</w:t>
            </w:r>
            <w:r>
              <w:rPr>
                <w:color w:val="000000"/>
                <w:sz w:val="24"/>
              </w:rPr>
              <w:t>设置1套有机废气处理设备处理废气，设置</w:t>
            </w:r>
            <w:r>
              <w:rPr>
                <w:rFonts w:hint="eastAsia"/>
                <w:color w:val="000000"/>
                <w:sz w:val="24"/>
              </w:rPr>
              <w:t>20</w:t>
            </w:r>
            <w:r>
              <w:rPr>
                <w:color w:val="000000"/>
                <w:sz w:val="24"/>
              </w:rPr>
              <w:t>个集气</w:t>
            </w:r>
            <w:r>
              <w:rPr>
                <w:sz w:val="24"/>
              </w:rPr>
              <w:t>罩。按照《环境工程设计手册》中的有关公式，废气收集系统或设备的控制风速要在0.7m/s以上，以保证收集效果，集气罩口面积取0.2m</w:t>
            </w:r>
            <w:r>
              <w:rPr>
                <w:sz w:val="24"/>
                <w:vertAlign w:val="superscript"/>
              </w:rPr>
              <w:t>2</w:t>
            </w:r>
            <w:r>
              <w:rPr>
                <w:sz w:val="24"/>
              </w:rPr>
              <w:t>，集气罩距离污染产生源的距离取0.20m，按照以下经验公式可计算得出各设备所需风量L。</w:t>
            </w:r>
          </w:p>
          <w:p>
            <w:pPr>
              <w:spacing w:line="360" w:lineRule="auto"/>
              <w:jc w:val="center"/>
              <w:rPr>
                <w:sz w:val="24"/>
                <w:vertAlign w:val="subscript"/>
              </w:rPr>
            </w:pPr>
            <w:r>
              <w:rPr>
                <w:sz w:val="24"/>
              </w:rPr>
              <w:t>L=3600(5X</w:t>
            </w:r>
            <w:r>
              <w:rPr>
                <w:sz w:val="24"/>
                <w:vertAlign w:val="superscript"/>
              </w:rPr>
              <w:t>2</w:t>
            </w:r>
            <w:r>
              <w:rPr>
                <w:sz w:val="24"/>
              </w:rPr>
              <w:t>+F)*V</w:t>
            </w:r>
            <w:r>
              <w:rPr>
                <w:sz w:val="24"/>
                <w:vertAlign w:val="subscript"/>
              </w:rPr>
              <w:t>X</w:t>
            </w:r>
          </w:p>
          <w:p>
            <w:pPr>
              <w:spacing w:line="360" w:lineRule="auto"/>
              <w:ind w:firstLine="573"/>
              <w:rPr>
                <w:sz w:val="24"/>
              </w:rPr>
            </w:pPr>
            <w:r>
              <w:rPr>
                <w:sz w:val="24"/>
              </w:rPr>
              <w:t>其中：X—集气罩至污染源的距离；</w:t>
            </w:r>
          </w:p>
          <w:p>
            <w:pPr>
              <w:spacing w:line="360" w:lineRule="auto"/>
              <w:ind w:firstLine="1200" w:firstLineChars="500"/>
              <w:rPr>
                <w:sz w:val="24"/>
              </w:rPr>
            </w:pPr>
            <w:r>
              <w:rPr>
                <w:sz w:val="24"/>
              </w:rPr>
              <w:t>F—集气罩口面积；</w:t>
            </w:r>
          </w:p>
          <w:p>
            <w:pPr>
              <w:spacing w:line="360" w:lineRule="auto"/>
              <w:ind w:firstLine="1200" w:firstLineChars="500"/>
              <w:rPr>
                <w:sz w:val="24"/>
              </w:rPr>
            </w:pPr>
            <w:r>
              <w:rPr>
                <w:sz w:val="24"/>
              </w:rPr>
              <w:t>V</w:t>
            </w:r>
            <w:r>
              <w:rPr>
                <w:sz w:val="24"/>
                <w:vertAlign w:val="subscript"/>
              </w:rPr>
              <w:t>X</w:t>
            </w:r>
            <w:r>
              <w:rPr>
                <w:sz w:val="24"/>
              </w:rPr>
              <w:t>—控制风速（取0.7m/s）。</w:t>
            </w:r>
          </w:p>
          <w:p>
            <w:pPr>
              <w:spacing w:line="360" w:lineRule="auto"/>
              <w:ind w:firstLine="573"/>
              <w:jc w:val="left"/>
              <w:rPr>
                <w:sz w:val="24"/>
              </w:rPr>
            </w:pPr>
            <w:r>
              <w:rPr>
                <w:sz w:val="24"/>
              </w:rPr>
              <w:t>计算得集气罩风量为1008m</w:t>
            </w:r>
            <w:r>
              <w:rPr>
                <w:sz w:val="24"/>
                <w:vertAlign w:val="superscript"/>
              </w:rPr>
              <w:t>3</w:t>
            </w:r>
            <w:r>
              <w:rPr>
                <w:sz w:val="24"/>
              </w:rPr>
              <w:t>/h，项目生产厂房注塑、点胶共</w:t>
            </w:r>
            <w:r>
              <w:rPr>
                <w:color w:val="000000"/>
                <w:sz w:val="24"/>
              </w:rPr>
              <w:t>设置</w:t>
            </w:r>
            <w:r>
              <w:rPr>
                <w:rFonts w:hint="eastAsia"/>
                <w:color w:val="000000"/>
                <w:sz w:val="24"/>
              </w:rPr>
              <w:t>20</w:t>
            </w:r>
            <w:r>
              <w:rPr>
                <w:color w:val="000000"/>
                <w:sz w:val="24"/>
              </w:rPr>
              <w:t>个集气</w:t>
            </w:r>
            <w:r>
              <w:rPr>
                <w:sz w:val="24"/>
              </w:rPr>
              <w:t>罩，总集气风量：</w:t>
            </w:r>
            <w:r>
              <w:rPr>
                <w:rFonts w:hint="eastAsia"/>
                <w:sz w:val="24"/>
              </w:rPr>
              <w:t>20160</w:t>
            </w:r>
            <w:r>
              <w:rPr>
                <w:sz w:val="24"/>
              </w:rPr>
              <w:t>m</w:t>
            </w:r>
            <w:r>
              <w:rPr>
                <w:sz w:val="24"/>
                <w:vertAlign w:val="superscript"/>
              </w:rPr>
              <w:t>3</w:t>
            </w:r>
            <w:r>
              <w:rPr>
                <w:sz w:val="24"/>
              </w:rPr>
              <w:t>/h，为保证抽风效果，风机设计总量均为</w:t>
            </w:r>
            <w:r>
              <w:rPr>
                <w:rFonts w:hint="eastAsia"/>
                <w:sz w:val="24"/>
              </w:rPr>
              <w:t>25</w:t>
            </w:r>
            <w:r>
              <w:rPr>
                <w:sz w:val="24"/>
              </w:rPr>
              <w:t>000m</w:t>
            </w:r>
            <w:r>
              <w:rPr>
                <w:sz w:val="24"/>
                <w:vertAlign w:val="superscript"/>
              </w:rPr>
              <w:t>3</w:t>
            </w:r>
            <w:r>
              <w:rPr>
                <w:sz w:val="24"/>
              </w:rPr>
              <w:t>/h。</w:t>
            </w:r>
          </w:p>
          <w:p>
            <w:pPr>
              <w:spacing w:line="360" w:lineRule="auto"/>
              <w:jc w:val="left"/>
              <w:rPr>
                <w:sz w:val="24"/>
              </w:rPr>
            </w:pPr>
            <w:r>
              <w:rPr>
                <w:sz w:val="24"/>
              </w:rPr>
              <w:t>集气罩收集+二级活性炭吸附装置中的收集效率均按 90%计，废气处理装置处理效率为 90%。</w:t>
            </w:r>
            <w:r>
              <w:rPr>
                <w:rFonts w:hint="eastAsia"/>
                <w:sz w:val="24"/>
              </w:rPr>
              <w:t>年工作时间为3000h。</w:t>
            </w:r>
          </w:p>
          <w:p>
            <w:pPr>
              <w:spacing w:line="360" w:lineRule="auto"/>
              <w:ind w:firstLine="573"/>
              <w:jc w:val="left"/>
              <w:rPr>
                <w:sz w:val="24"/>
              </w:rPr>
            </w:pPr>
            <w:r>
              <w:rPr>
                <w:sz w:val="24"/>
              </w:rPr>
              <w:t>则本项目非甲烷总烃有组织产生情况均为：</w:t>
            </w:r>
            <w:r>
              <w:rPr>
                <w:rFonts w:hint="eastAsia"/>
                <w:sz w:val="24"/>
              </w:rPr>
              <w:t>1.23</w:t>
            </w:r>
            <w:r>
              <w:rPr>
                <w:sz w:val="24"/>
              </w:rPr>
              <w:t>t/a、</w:t>
            </w:r>
            <w:r>
              <w:rPr>
                <w:rFonts w:hint="eastAsia"/>
                <w:sz w:val="24"/>
              </w:rPr>
              <w:t>0.41</w:t>
            </w:r>
            <w:r>
              <w:rPr>
                <w:sz w:val="24"/>
              </w:rPr>
              <w:t>kg/h、</w:t>
            </w:r>
            <w:r>
              <w:rPr>
                <w:rFonts w:hint="eastAsia"/>
                <w:sz w:val="24"/>
              </w:rPr>
              <w:t>16.4</w:t>
            </w:r>
            <w:r>
              <w:rPr>
                <w:sz w:val="24"/>
              </w:rPr>
              <w:t>mg/m</w:t>
            </w:r>
            <w:r>
              <w:rPr>
                <w:sz w:val="24"/>
                <w:vertAlign w:val="superscript"/>
              </w:rPr>
              <w:t>3</w:t>
            </w:r>
            <w:r>
              <w:rPr>
                <w:sz w:val="24"/>
              </w:rPr>
              <w:t>；排放情况均为：</w:t>
            </w:r>
            <w:r>
              <w:rPr>
                <w:rFonts w:hint="eastAsia"/>
                <w:sz w:val="24"/>
              </w:rPr>
              <w:t>0.123</w:t>
            </w:r>
            <w:r>
              <w:rPr>
                <w:sz w:val="24"/>
              </w:rPr>
              <w:t>t/a、0.0</w:t>
            </w:r>
            <w:r>
              <w:rPr>
                <w:rFonts w:hint="eastAsia"/>
                <w:sz w:val="24"/>
              </w:rPr>
              <w:t>41</w:t>
            </w:r>
            <w:r>
              <w:rPr>
                <w:sz w:val="24"/>
              </w:rPr>
              <w:t>kg/h、</w:t>
            </w:r>
            <w:r>
              <w:rPr>
                <w:rFonts w:hint="eastAsia"/>
                <w:sz w:val="24"/>
              </w:rPr>
              <w:t>1.64</w:t>
            </w:r>
            <w:r>
              <w:rPr>
                <w:sz w:val="24"/>
              </w:rPr>
              <w:t>mg/m</w:t>
            </w:r>
            <w:r>
              <w:rPr>
                <w:sz w:val="24"/>
                <w:vertAlign w:val="superscript"/>
              </w:rPr>
              <w:t>3</w:t>
            </w:r>
            <w:r>
              <w:rPr>
                <w:sz w:val="24"/>
              </w:rPr>
              <w:t>。</w:t>
            </w:r>
            <w:r>
              <w:rPr>
                <w:rFonts w:hint="eastAsia"/>
                <w:sz w:val="24"/>
              </w:rPr>
              <w:t>无组织产生情况为：0.137</w:t>
            </w:r>
            <w:r>
              <w:rPr>
                <w:sz w:val="24"/>
              </w:rPr>
              <w:t>t/a、</w:t>
            </w:r>
            <w:r>
              <w:rPr>
                <w:rFonts w:hint="eastAsia"/>
                <w:sz w:val="24"/>
              </w:rPr>
              <w:t>0.046</w:t>
            </w:r>
            <w:r>
              <w:rPr>
                <w:sz w:val="24"/>
              </w:rPr>
              <w:t>kg/h</w:t>
            </w:r>
            <w:r>
              <w:rPr>
                <w:rFonts w:hint="eastAsia"/>
                <w:sz w:val="24"/>
              </w:rPr>
              <w:t>。</w:t>
            </w:r>
          </w:p>
          <w:p>
            <w:pPr>
              <w:adjustRightInd w:val="0"/>
              <w:snapToGrid w:val="0"/>
              <w:spacing w:line="360" w:lineRule="auto"/>
              <w:ind w:firstLine="480" w:firstLineChars="200"/>
              <w:rPr>
                <w:sz w:val="24"/>
              </w:rPr>
            </w:pPr>
            <w:r>
              <w:rPr>
                <w:rFonts w:hint="eastAsia"/>
                <w:sz w:val="24"/>
              </w:rPr>
              <w:t>（2）粉尘</w:t>
            </w:r>
          </w:p>
          <w:p>
            <w:pPr>
              <w:spacing w:line="360" w:lineRule="auto"/>
              <w:ind w:firstLine="480" w:firstLineChars="200"/>
              <w:rPr>
                <w:sz w:val="24"/>
              </w:rPr>
            </w:pPr>
            <w:r>
              <w:rPr>
                <w:rFonts w:hint="eastAsia"/>
                <w:sz w:val="24"/>
              </w:rPr>
              <w:t>项目包装材料生产会产生废边角料和不合格品，根据企业提供资料，产生系数约1%，塑料包装材料产品总量为2500t，则产生边角料和不合格品为25t，破碎粉尘的产生系数参照《滁州熙诚环保科技有限公司年产1万套塑料环保设备生产线项目》约5%，则破碎粉尘产生量为1.25t/a。</w:t>
            </w:r>
          </w:p>
          <w:p>
            <w:pPr>
              <w:spacing w:line="360" w:lineRule="auto"/>
              <w:ind w:firstLine="480" w:firstLineChars="200"/>
              <w:rPr>
                <w:sz w:val="24"/>
              </w:rPr>
            </w:pPr>
            <w:r>
              <w:rPr>
                <w:sz w:val="24"/>
              </w:rPr>
              <w:t>根据本项目的实际情况，项目</w:t>
            </w:r>
            <w:r>
              <w:rPr>
                <w:rFonts w:hint="eastAsia"/>
                <w:sz w:val="24"/>
              </w:rPr>
              <w:t>2#</w:t>
            </w:r>
            <w:r>
              <w:rPr>
                <w:sz w:val="24"/>
              </w:rPr>
              <w:t>生产厂房</w:t>
            </w:r>
            <w:r>
              <w:rPr>
                <w:rFonts w:hint="eastAsia"/>
                <w:sz w:val="24"/>
              </w:rPr>
              <w:t>1F</w:t>
            </w:r>
            <w:r>
              <w:rPr>
                <w:color w:val="000000"/>
                <w:sz w:val="24"/>
              </w:rPr>
              <w:t>设置1套</w:t>
            </w:r>
            <w:r>
              <w:rPr>
                <w:rFonts w:hint="eastAsia"/>
                <w:color w:val="000000"/>
                <w:sz w:val="24"/>
              </w:rPr>
              <w:t>布袋除尘</w:t>
            </w:r>
            <w:r>
              <w:rPr>
                <w:color w:val="000000"/>
                <w:sz w:val="24"/>
              </w:rPr>
              <w:t>设备处理废气，设置</w:t>
            </w:r>
            <w:r>
              <w:rPr>
                <w:rFonts w:hint="eastAsia"/>
                <w:color w:val="000000"/>
                <w:sz w:val="24"/>
              </w:rPr>
              <w:t>5</w:t>
            </w:r>
            <w:r>
              <w:rPr>
                <w:color w:val="000000"/>
                <w:sz w:val="24"/>
              </w:rPr>
              <w:t>个集气</w:t>
            </w:r>
            <w:r>
              <w:rPr>
                <w:sz w:val="24"/>
              </w:rPr>
              <w:t>罩。按照《环境工程设计手册》中的有关公式，废气收集系统或设备的控制风速要在0.7m/s以上，以保证收集效果，集气罩口面积取0.2m</w:t>
            </w:r>
            <w:r>
              <w:rPr>
                <w:sz w:val="24"/>
                <w:vertAlign w:val="superscript"/>
              </w:rPr>
              <w:t>2</w:t>
            </w:r>
            <w:r>
              <w:rPr>
                <w:sz w:val="24"/>
              </w:rPr>
              <w:t>，集气罩距离污染产生源的距离取0.20m，按照以下经验公式可计算得出各设备所需风量L。</w:t>
            </w:r>
          </w:p>
          <w:p>
            <w:pPr>
              <w:spacing w:line="360" w:lineRule="auto"/>
              <w:jc w:val="center"/>
              <w:rPr>
                <w:sz w:val="24"/>
                <w:vertAlign w:val="subscript"/>
              </w:rPr>
            </w:pPr>
            <w:r>
              <w:rPr>
                <w:sz w:val="24"/>
              </w:rPr>
              <w:t>L=3600(5X</w:t>
            </w:r>
            <w:r>
              <w:rPr>
                <w:sz w:val="24"/>
                <w:vertAlign w:val="superscript"/>
              </w:rPr>
              <w:t>2</w:t>
            </w:r>
            <w:r>
              <w:rPr>
                <w:sz w:val="24"/>
              </w:rPr>
              <w:t>+F)*V</w:t>
            </w:r>
            <w:r>
              <w:rPr>
                <w:sz w:val="24"/>
                <w:vertAlign w:val="subscript"/>
              </w:rPr>
              <w:t>X</w:t>
            </w:r>
          </w:p>
          <w:p>
            <w:pPr>
              <w:spacing w:line="360" w:lineRule="auto"/>
              <w:ind w:firstLine="573"/>
              <w:rPr>
                <w:sz w:val="24"/>
              </w:rPr>
            </w:pPr>
            <w:r>
              <w:rPr>
                <w:sz w:val="24"/>
              </w:rPr>
              <w:t>其中：X—集气罩至污染源的距离；</w:t>
            </w:r>
          </w:p>
          <w:p>
            <w:pPr>
              <w:spacing w:line="360" w:lineRule="auto"/>
              <w:ind w:firstLine="1200" w:firstLineChars="500"/>
              <w:rPr>
                <w:sz w:val="24"/>
              </w:rPr>
            </w:pPr>
            <w:r>
              <w:rPr>
                <w:sz w:val="24"/>
              </w:rPr>
              <w:t>F—集气罩口面积；</w:t>
            </w:r>
          </w:p>
          <w:p>
            <w:pPr>
              <w:spacing w:line="360" w:lineRule="auto"/>
              <w:ind w:firstLine="1200" w:firstLineChars="500"/>
              <w:rPr>
                <w:sz w:val="24"/>
              </w:rPr>
            </w:pPr>
            <w:r>
              <w:rPr>
                <w:sz w:val="24"/>
              </w:rPr>
              <w:t>V</w:t>
            </w:r>
            <w:r>
              <w:rPr>
                <w:sz w:val="24"/>
                <w:vertAlign w:val="subscript"/>
              </w:rPr>
              <w:t>X</w:t>
            </w:r>
            <w:r>
              <w:rPr>
                <w:sz w:val="24"/>
              </w:rPr>
              <w:t>—控制风速（取0.7m/s）。</w:t>
            </w:r>
          </w:p>
          <w:p>
            <w:pPr>
              <w:spacing w:line="360" w:lineRule="auto"/>
              <w:ind w:firstLine="573"/>
              <w:jc w:val="left"/>
              <w:rPr>
                <w:sz w:val="24"/>
              </w:rPr>
            </w:pPr>
            <w:r>
              <w:rPr>
                <w:sz w:val="24"/>
              </w:rPr>
              <w:t>计算得集气罩风量为1008m</w:t>
            </w:r>
            <w:r>
              <w:rPr>
                <w:sz w:val="24"/>
                <w:vertAlign w:val="superscript"/>
              </w:rPr>
              <w:t>3</w:t>
            </w:r>
            <w:r>
              <w:rPr>
                <w:sz w:val="24"/>
              </w:rPr>
              <w:t>/h，项目</w:t>
            </w:r>
            <w:r>
              <w:rPr>
                <w:rFonts w:hint="eastAsia"/>
                <w:sz w:val="24"/>
              </w:rPr>
              <w:t>粉碎间</w:t>
            </w:r>
            <w:r>
              <w:rPr>
                <w:sz w:val="24"/>
              </w:rPr>
              <w:t>共</w:t>
            </w:r>
            <w:r>
              <w:rPr>
                <w:color w:val="000000"/>
                <w:sz w:val="24"/>
              </w:rPr>
              <w:t>设置</w:t>
            </w:r>
            <w:r>
              <w:rPr>
                <w:rFonts w:hint="eastAsia"/>
                <w:color w:val="000000"/>
                <w:sz w:val="24"/>
              </w:rPr>
              <w:t>5</w:t>
            </w:r>
            <w:r>
              <w:rPr>
                <w:color w:val="000000"/>
                <w:sz w:val="24"/>
              </w:rPr>
              <w:t>个集气</w:t>
            </w:r>
            <w:r>
              <w:rPr>
                <w:sz w:val="24"/>
              </w:rPr>
              <w:t>罩，总集气风量：</w:t>
            </w:r>
            <w:r>
              <w:rPr>
                <w:rFonts w:hint="eastAsia"/>
                <w:sz w:val="24"/>
              </w:rPr>
              <w:t>5040</w:t>
            </w:r>
            <w:r>
              <w:rPr>
                <w:sz w:val="24"/>
              </w:rPr>
              <w:t>m</w:t>
            </w:r>
            <w:r>
              <w:rPr>
                <w:sz w:val="24"/>
                <w:vertAlign w:val="superscript"/>
              </w:rPr>
              <w:t>3</w:t>
            </w:r>
            <w:r>
              <w:rPr>
                <w:sz w:val="24"/>
              </w:rPr>
              <w:t>/h，为保证抽风效果，风机设计总量均为</w:t>
            </w:r>
            <w:r>
              <w:rPr>
                <w:rFonts w:hint="eastAsia"/>
                <w:sz w:val="24"/>
              </w:rPr>
              <w:t>6000</w:t>
            </w:r>
            <w:r>
              <w:rPr>
                <w:sz w:val="24"/>
              </w:rPr>
              <w:t>m</w:t>
            </w:r>
            <w:r>
              <w:rPr>
                <w:sz w:val="24"/>
                <w:vertAlign w:val="superscript"/>
              </w:rPr>
              <w:t>3</w:t>
            </w:r>
            <w:r>
              <w:rPr>
                <w:sz w:val="24"/>
              </w:rPr>
              <w:t>/h。</w:t>
            </w:r>
          </w:p>
          <w:p>
            <w:pPr>
              <w:spacing w:line="360" w:lineRule="auto"/>
              <w:jc w:val="left"/>
              <w:rPr>
                <w:sz w:val="24"/>
              </w:rPr>
            </w:pPr>
            <w:r>
              <w:rPr>
                <w:sz w:val="24"/>
              </w:rPr>
              <w:t>集气罩收集+</w:t>
            </w:r>
            <w:r>
              <w:rPr>
                <w:rFonts w:hint="eastAsia"/>
                <w:sz w:val="24"/>
              </w:rPr>
              <w:t>布袋除尘</w:t>
            </w:r>
            <w:r>
              <w:rPr>
                <w:sz w:val="24"/>
              </w:rPr>
              <w:t>装置中的收集效率均按 90%计，废气处理装置处理效率为9</w:t>
            </w:r>
            <w:r>
              <w:rPr>
                <w:rFonts w:hint="eastAsia"/>
                <w:sz w:val="24"/>
              </w:rPr>
              <w:t>5</w:t>
            </w:r>
            <w:r>
              <w:rPr>
                <w:sz w:val="24"/>
              </w:rPr>
              <w:t>%。</w:t>
            </w:r>
            <w:r>
              <w:rPr>
                <w:rFonts w:hint="eastAsia"/>
                <w:sz w:val="24"/>
              </w:rPr>
              <w:t>粉碎每天工作2h，年工作时间为600h。</w:t>
            </w:r>
          </w:p>
          <w:p>
            <w:pPr>
              <w:spacing w:line="360" w:lineRule="auto"/>
              <w:ind w:firstLine="573"/>
              <w:jc w:val="left"/>
              <w:rPr>
                <w:sz w:val="24"/>
              </w:rPr>
            </w:pPr>
            <w:r>
              <w:rPr>
                <w:sz w:val="24"/>
              </w:rPr>
              <w:t>则本项目</w:t>
            </w:r>
            <w:r>
              <w:rPr>
                <w:rFonts w:hint="eastAsia"/>
                <w:sz w:val="24"/>
              </w:rPr>
              <w:t>颗粒物</w:t>
            </w:r>
            <w:r>
              <w:rPr>
                <w:sz w:val="24"/>
              </w:rPr>
              <w:t>有组织产生情况均为：</w:t>
            </w:r>
            <w:r>
              <w:rPr>
                <w:rFonts w:hint="eastAsia"/>
                <w:sz w:val="24"/>
              </w:rPr>
              <w:t>1.125</w:t>
            </w:r>
            <w:r>
              <w:rPr>
                <w:sz w:val="24"/>
              </w:rPr>
              <w:t>t/a、</w:t>
            </w:r>
            <w:r>
              <w:rPr>
                <w:rFonts w:hint="eastAsia"/>
                <w:sz w:val="24"/>
              </w:rPr>
              <w:t>1.875</w:t>
            </w:r>
            <w:r>
              <w:rPr>
                <w:sz w:val="24"/>
              </w:rPr>
              <w:t>kg/h、</w:t>
            </w:r>
            <w:r>
              <w:rPr>
                <w:rFonts w:hint="eastAsia"/>
                <w:sz w:val="24"/>
              </w:rPr>
              <w:t>312.5</w:t>
            </w:r>
            <w:r>
              <w:rPr>
                <w:sz w:val="24"/>
              </w:rPr>
              <w:t>mg/m</w:t>
            </w:r>
            <w:r>
              <w:rPr>
                <w:sz w:val="24"/>
                <w:vertAlign w:val="superscript"/>
              </w:rPr>
              <w:t>3</w:t>
            </w:r>
            <w:r>
              <w:rPr>
                <w:sz w:val="24"/>
              </w:rPr>
              <w:t>；排放情况均为：</w:t>
            </w:r>
            <w:r>
              <w:rPr>
                <w:rFonts w:hint="eastAsia"/>
                <w:sz w:val="24"/>
              </w:rPr>
              <w:t>0.056</w:t>
            </w:r>
            <w:r>
              <w:rPr>
                <w:sz w:val="24"/>
              </w:rPr>
              <w:t>t/a、</w:t>
            </w:r>
            <w:r>
              <w:rPr>
                <w:rFonts w:hint="eastAsia"/>
                <w:sz w:val="24"/>
              </w:rPr>
              <w:t>0.094</w:t>
            </w:r>
            <w:r>
              <w:rPr>
                <w:sz w:val="24"/>
              </w:rPr>
              <w:t>kg/h、</w:t>
            </w:r>
            <w:r>
              <w:rPr>
                <w:rFonts w:hint="eastAsia"/>
                <w:sz w:val="24"/>
              </w:rPr>
              <w:t>15.6</w:t>
            </w:r>
            <w:r>
              <w:rPr>
                <w:sz w:val="24"/>
              </w:rPr>
              <w:t>mg/m</w:t>
            </w:r>
            <w:r>
              <w:rPr>
                <w:sz w:val="24"/>
                <w:vertAlign w:val="superscript"/>
              </w:rPr>
              <w:t>3</w:t>
            </w:r>
            <w:r>
              <w:rPr>
                <w:sz w:val="24"/>
              </w:rPr>
              <w:t>。</w:t>
            </w:r>
            <w:r>
              <w:rPr>
                <w:rFonts w:hint="eastAsia"/>
                <w:sz w:val="24"/>
              </w:rPr>
              <w:t>无组织产生情况为：0.113</w:t>
            </w:r>
            <w:r>
              <w:rPr>
                <w:sz w:val="24"/>
              </w:rPr>
              <w:t>t/a、</w:t>
            </w:r>
            <w:r>
              <w:rPr>
                <w:rFonts w:hint="eastAsia"/>
                <w:sz w:val="24"/>
              </w:rPr>
              <w:t>0.188</w:t>
            </w:r>
            <w:r>
              <w:rPr>
                <w:sz w:val="24"/>
              </w:rPr>
              <w:t>kg/h</w:t>
            </w:r>
            <w:r>
              <w:rPr>
                <w:rFonts w:hint="eastAsia"/>
                <w:sz w:val="24"/>
              </w:rPr>
              <w:t>。</w:t>
            </w:r>
          </w:p>
          <w:p>
            <w:pPr>
              <w:adjustRightInd w:val="0"/>
              <w:snapToGrid w:val="0"/>
              <w:spacing w:line="360" w:lineRule="auto"/>
              <w:ind w:firstLine="480" w:firstLineChars="200"/>
              <w:rPr>
                <w:sz w:val="24"/>
              </w:rPr>
            </w:pPr>
            <w:r>
              <w:rPr>
                <w:rFonts w:hint="eastAsia"/>
                <w:sz w:val="24"/>
              </w:rPr>
              <w:t>（3）生产过程产生的水蒸气</w:t>
            </w:r>
          </w:p>
          <w:p>
            <w:pPr>
              <w:adjustRightInd w:val="0"/>
              <w:snapToGrid w:val="0"/>
              <w:spacing w:line="360" w:lineRule="auto"/>
              <w:ind w:firstLine="480" w:firstLineChars="200"/>
              <w:rPr>
                <w:sz w:val="24"/>
              </w:rPr>
            </w:pPr>
            <w:r>
              <w:rPr>
                <w:rFonts w:hint="eastAsia"/>
                <w:sz w:val="24"/>
              </w:rPr>
              <w:t>本项目蒸煮、干燥、烘干、炒制过程主要是去除水分，产生大量水蒸气，通过集气罩收集后用风机抽出，通过车间侧壁排放。</w:t>
            </w:r>
          </w:p>
          <w:p>
            <w:pPr>
              <w:adjustRightInd w:val="0"/>
              <w:snapToGrid w:val="0"/>
              <w:spacing w:line="360" w:lineRule="auto"/>
              <w:ind w:firstLine="480" w:firstLineChars="200"/>
              <w:rPr>
                <w:sz w:val="24"/>
              </w:rPr>
            </w:pPr>
            <w:r>
              <w:rPr>
                <w:rFonts w:hint="eastAsia"/>
                <w:sz w:val="24"/>
              </w:rPr>
              <w:t>（4）食堂油烟</w:t>
            </w:r>
          </w:p>
          <w:p>
            <w:pPr>
              <w:adjustRightInd w:val="0"/>
              <w:snapToGrid w:val="0"/>
              <w:spacing w:line="360" w:lineRule="auto"/>
              <w:ind w:firstLine="480" w:firstLineChars="200"/>
              <w:rPr>
                <w:sz w:val="24"/>
              </w:rPr>
            </w:pPr>
            <w:r>
              <w:rPr>
                <w:rFonts w:hint="eastAsia"/>
                <w:sz w:val="24"/>
              </w:rPr>
              <w:t>本</w:t>
            </w:r>
            <w:r>
              <w:rPr>
                <w:sz w:val="24"/>
              </w:rPr>
              <w:t>项目</w:t>
            </w:r>
            <w:r>
              <w:rPr>
                <w:rFonts w:hint="eastAsia"/>
                <w:sz w:val="24"/>
              </w:rPr>
              <w:t>新增200人，现有项目人数为176人，均在食堂就餐</w:t>
            </w:r>
            <w:r>
              <w:rPr>
                <w:sz w:val="24"/>
              </w:rPr>
              <w:t>。根据企业提供数据，食堂设置规模为</w:t>
            </w:r>
            <w:r>
              <w:rPr>
                <w:rFonts w:hint="eastAsia"/>
                <w:sz w:val="24"/>
              </w:rPr>
              <w:t>中型</w:t>
            </w:r>
            <w:r>
              <w:rPr>
                <w:sz w:val="24"/>
              </w:rPr>
              <w:t>型，每天供应</w:t>
            </w:r>
            <w:r>
              <w:rPr>
                <w:rFonts w:hint="eastAsia"/>
                <w:sz w:val="24"/>
              </w:rPr>
              <w:t>376</w:t>
            </w:r>
            <w:r>
              <w:rPr>
                <w:sz w:val="24"/>
              </w:rPr>
              <w:t>人就餐，人均食用油用量以10kg/a计算，则食用油使用量为</w:t>
            </w:r>
            <w:r>
              <w:rPr>
                <w:rFonts w:hint="eastAsia"/>
                <w:sz w:val="24"/>
              </w:rPr>
              <w:t>3760</w:t>
            </w:r>
            <w:r>
              <w:rPr>
                <w:sz w:val="24"/>
              </w:rPr>
              <w:t>kg/a，油烟产生量按使用量的2.83%计，每天供应</w:t>
            </w:r>
            <w:r>
              <w:rPr>
                <w:rFonts w:hint="eastAsia"/>
                <w:sz w:val="24"/>
              </w:rPr>
              <w:t>中</w:t>
            </w:r>
            <w:r>
              <w:rPr>
                <w:sz w:val="24"/>
              </w:rPr>
              <w:t>餐，厨房操作按</w:t>
            </w:r>
            <w:r>
              <w:rPr>
                <w:rFonts w:hint="eastAsia"/>
                <w:sz w:val="24"/>
              </w:rPr>
              <w:t>3</w:t>
            </w:r>
            <w:r>
              <w:rPr>
                <w:sz w:val="24"/>
              </w:rPr>
              <w:t>h/d 计，则油烟产生量为</w:t>
            </w:r>
            <w:r>
              <w:rPr>
                <w:rFonts w:hint="eastAsia"/>
                <w:sz w:val="24"/>
              </w:rPr>
              <w:t>106.4</w:t>
            </w:r>
            <w:r>
              <w:rPr>
                <w:sz w:val="24"/>
              </w:rPr>
              <w:t>kg/a，处理风量</w:t>
            </w:r>
            <w:r>
              <w:rPr>
                <w:rFonts w:hint="eastAsia"/>
                <w:sz w:val="24"/>
              </w:rPr>
              <w:t>20</w:t>
            </w:r>
            <w:r>
              <w:rPr>
                <w:sz w:val="24"/>
              </w:rPr>
              <w:t>000m</w:t>
            </w:r>
            <w:r>
              <w:rPr>
                <w:sz w:val="24"/>
                <w:vertAlign w:val="superscript"/>
              </w:rPr>
              <w:t>3</w:t>
            </w:r>
            <w:r>
              <w:rPr>
                <w:sz w:val="24"/>
              </w:rPr>
              <w:t>/h。项目厨房安装油烟净化器，油烟净化效果以7</w:t>
            </w:r>
            <w:r>
              <w:rPr>
                <w:rFonts w:hint="eastAsia"/>
                <w:sz w:val="24"/>
              </w:rPr>
              <w:t>5</w:t>
            </w:r>
            <w:r>
              <w:rPr>
                <w:sz w:val="24"/>
              </w:rPr>
              <w:t>%计，则项目厨房油烟排放量为</w:t>
            </w:r>
            <w:r>
              <w:rPr>
                <w:rFonts w:hint="eastAsia"/>
                <w:sz w:val="24"/>
              </w:rPr>
              <w:t>26.6</w:t>
            </w:r>
            <w:r>
              <w:rPr>
                <w:sz w:val="24"/>
              </w:rPr>
              <w:t>kg/a，排放浓度为</w:t>
            </w:r>
            <w:r>
              <w:rPr>
                <w:rFonts w:hint="eastAsia"/>
                <w:sz w:val="24"/>
              </w:rPr>
              <w:t>1.5</w:t>
            </w:r>
            <w:r>
              <w:rPr>
                <w:sz w:val="24"/>
              </w:rPr>
              <w:t>mg/m</w:t>
            </w:r>
            <w:r>
              <w:rPr>
                <w:sz w:val="24"/>
                <w:vertAlign w:val="superscript"/>
              </w:rPr>
              <w:t>3</w:t>
            </w:r>
            <w:r>
              <w:rPr>
                <w:sz w:val="24"/>
              </w:rPr>
              <w:t>，油烟废气经净化后通过独立排烟管道引于楼顶高空排放，满足《饮食业油烟排放标准》（试行）（GB18483-2001）油烟最高允许排放浓度 2.0mg/m</w:t>
            </w:r>
            <w:r>
              <w:rPr>
                <w:sz w:val="24"/>
                <w:vertAlign w:val="superscript"/>
              </w:rPr>
              <w:t>3</w:t>
            </w:r>
            <w:r>
              <w:rPr>
                <w:sz w:val="24"/>
              </w:rPr>
              <w:t>的要求。</w:t>
            </w:r>
          </w:p>
          <w:p>
            <w:pPr>
              <w:adjustRightInd w:val="0"/>
              <w:snapToGrid w:val="0"/>
              <w:spacing w:line="360" w:lineRule="auto"/>
              <w:ind w:firstLine="472" w:firstLineChars="200"/>
              <w:rPr>
                <w:b/>
                <w:bCs/>
                <w:sz w:val="24"/>
              </w:rPr>
            </w:pPr>
            <w:r>
              <w:rPr>
                <w:rFonts w:hint="eastAsia"/>
                <w:spacing w:val="-2"/>
                <w:sz w:val="24"/>
              </w:rPr>
              <w:t>综上分析，项目有组织、无组织废气产生及排放情况详见下表。</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380" w:firstLineChars="200"/>
              <w:rPr>
                <w:rFonts w:ascii="宋体" w:hAnsi="宋体" w:cs="宋体"/>
                <w:bCs/>
                <w:spacing w:val="-10"/>
                <w:szCs w:val="21"/>
              </w:rPr>
            </w:pPr>
          </w:p>
        </w:tc>
      </w:tr>
    </w:tbl>
    <w:p/>
    <w:p>
      <w:pPr>
        <w:pStyle w:val="2"/>
      </w:pPr>
    </w:p>
    <w:p>
      <w:pPr>
        <w:pStyle w:val="2"/>
      </w:pPr>
    </w:p>
    <w:p>
      <w:pPr>
        <w:pStyle w:val="2"/>
      </w:pPr>
    </w:p>
    <w:p>
      <w:pPr>
        <w:pStyle w:val="2"/>
      </w:pPr>
    </w:p>
    <w:p>
      <w:pPr>
        <w:pStyle w:val="2"/>
      </w:pPr>
    </w:p>
    <w:p>
      <w:pPr>
        <w:pStyle w:val="2"/>
        <w:sectPr>
          <w:pgSz w:w="11907" w:h="16840"/>
          <w:pgMar w:top="1701" w:right="1531" w:bottom="2127" w:left="1531" w:header="851" w:footer="851" w:gutter="0"/>
          <w:cols w:space="720" w:num="1"/>
          <w:docGrid w:linePitch="312" w:charSpace="0"/>
        </w:sectPr>
      </w:pPr>
    </w:p>
    <w:p>
      <w:pPr>
        <w:pStyle w:val="46"/>
        <w:snapToGrid w:val="0"/>
        <w:spacing w:line="520" w:lineRule="exact"/>
        <w:ind w:firstLine="480" w:firstLineChars="200"/>
        <w:rPr>
          <w:sz w:val="24"/>
          <w:lang w:eastAsia="zh-CN"/>
        </w:rPr>
      </w:pPr>
      <w:r>
        <w:rPr>
          <w:sz w:val="24"/>
          <w:lang w:eastAsia="zh-CN"/>
        </w:rPr>
        <w:t>本项目大气污染物产排量统计见下表。</w:t>
      </w:r>
    </w:p>
    <w:p>
      <w:pPr>
        <w:spacing w:line="360" w:lineRule="auto"/>
        <w:ind w:firstLine="482" w:firstLineChars="200"/>
        <w:jc w:val="center"/>
        <w:rPr>
          <w:b/>
          <w:sz w:val="24"/>
        </w:rPr>
      </w:pPr>
      <w:r>
        <w:rPr>
          <w:b/>
          <w:sz w:val="24"/>
        </w:rPr>
        <w:t>表</w:t>
      </w:r>
      <w:r>
        <w:rPr>
          <w:rFonts w:hint="eastAsia"/>
          <w:b/>
          <w:sz w:val="24"/>
        </w:rPr>
        <w:t>4-1</w:t>
      </w:r>
      <w:r>
        <w:rPr>
          <w:b/>
          <w:sz w:val="24"/>
        </w:rPr>
        <w:t xml:space="preserve">    本项目有组织废气产排情况</w:t>
      </w:r>
    </w:p>
    <w:tbl>
      <w:tblPr>
        <w:tblStyle w:val="22"/>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953"/>
        <w:gridCol w:w="687"/>
        <w:gridCol w:w="838"/>
        <w:gridCol w:w="700"/>
        <w:gridCol w:w="750"/>
        <w:gridCol w:w="725"/>
        <w:gridCol w:w="750"/>
        <w:gridCol w:w="887"/>
        <w:gridCol w:w="1225"/>
        <w:gridCol w:w="800"/>
        <w:gridCol w:w="925"/>
        <w:gridCol w:w="888"/>
        <w:gridCol w:w="762"/>
        <w:gridCol w:w="838"/>
        <w:gridCol w:w="512"/>
        <w:gridCol w:w="525"/>
        <w:gridCol w:w="488"/>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3" w:type="dxa"/>
            <w:vMerge w:val="restart"/>
            <w:vAlign w:val="center"/>
          </w:tcPr>
          <w:p>
            <w:pPr>
              <w:ind w:left="-94" w:leftChars="-45" w:right="-145" w:rightChars="-69"/>
              <w:jc w:val="center"/>
              <w:rPr>
                <w:b/>
                <w:szCs w:val="21"/>
              </w:rPr>
            </w:pPr>
            <w:r>
              <w:rPr>
                <w:b/>
                <w:szCs w:val="21"/>
              </w:rPr>
              <w:t>生产</w:t>
            </w:r>
          </w:p>
          <w:p>
            <w:pPr>
              <w:ind w:left="-94" w:leftChars="-45" w:right="-145" w:rightChars="-69"/>
              <w:jc w:val="center"/>
              <w:rPr>
                <w:b/>
                <w:spacing w:val="2"/>
                <w:szCs w:val="21"/>
              </w:rPr>
            </w:pPr>
            <w:r>
              <w:rPr>
                <w:b/>
                <w:szCs w:val="21"/>
              </w:rPr>
              <w:t>工序</w:t>
            </w:r>
          </w:p>
        </w:tc>
        <w:tc>
          <w:tcPr>
            <w:tcW w:w="953" w:type="dxa"/>
            <w:vMerge w:val="restart"/>
            <w:vAlign w:val="center"/>
          </w:tcPr>
          <w:p>
            <w:pPr>
              <w:ind w:left="-94" w:leftChars="-45" w:right="-145" w:rightChars="-69"/>
              <w:jc w:val="center"/>
              <w:rPr>
                <w:b/>
                <w:szCs w:val="21"/>
              </w:rPr>
            </w:pPr>
            <w:r>
              <w:rPr>
                <w:b/>
                <w:szCs w:val="21"/>
              </w:rPr>
              <w:t>产污</w:t>
            </w:r>
          </w:p>
          <w:p>
            <w:pPr>
              <w:ind w:left="-94" w:leftChars="-45" w:right="-145" w:rightChars="-69"/>
              <w:jc w:val="center"/>
              <w:rPr>
                <w:b/>
                <w:szCs w:val="21"/>
              </w:rPr>
            </w:pPr>
            <w:r>
              <w:rPr>
                <w:b/>
                <w:szCs w:val="21"/>
              </w:rPr>
              <w:t>环节</w:t>
            </w:r>
          </w:p>
        </w:tc>
        <w:tc>
          <w:tcPr>
            <w:tcW w:w="687" w:type="dxa"/>
            <w:vMerge w:val="restart"/>
            <w:vAlign w:val="center"/>
          </w:tcPr>
          <w:p>
            <w:pPr>
              <w:ind w:left="-94" w:leftChars="-45" w:right="-145" w:rightChars="-69"/>
              <w:jc w:val="center"/>
              <w:rPr>
                <w:b/>
                <w:szCs w:val="21"/>
              </w:rPr>
            </w:pPr>
            <w:r>
              <w:rPr>
                <w:b/>
                <w:szCs w:val="21"/>
              </w:rPr>
              <w:t>污染源</w:t>
            </w:r>
          </w:p>
        </w:tc>
        <w:tc>
          <w:tcPr>
            <w:tcW w:w="838" w:type="dxa"/>
            <w:vMerge w:val="restart"/>
            <w:vAlign w:val="center"/>
          </w:tcPr>
          <w:p>
            <w:pPr>
              <w:ind w:left="-94" w:leftChars="-45" w:right="-145" w:rightChars="-69"/>
              <w:jc w:val="center"/>
              <w:rPr>
                <w:b/>
                <w:szCs w:val="21"/>
              </w:rPr>
            </w:pPr>
            <w:r>
              <w:rPr>
                <w:b/>
                <w:szCs w:val="21"/>
              </w:rPr>
              <w:t>污染物</w:t>
            </w:r>
          </w:p>
        </w:tc>
        <w:tc>
          <w:tcPr>
            <w:tcW w:w="3812" w:type="dxa"/>
            <w:gridSpan w:val="5"/>
            <w:vAlign w:val="center"/>
          </w:tcPr>
          <w:p>
            <w:pPr>
              <w:ind w:left="-94" w:leftChars="-45" w:right="-145" w:rightChars="-69"/>
              <w:jc w:val="center"/>
              <w:rPr>
                <w:b/>
                <w:szCs w:val="21"/>
              </w:rPr>
            </w:pPr>
            <w:r>
              <w:rPr>
                <w:b/>
                <w:szCs w:val="21"/>
              </w:rPr>
              <w:t>产生情况</w:t>
            </w:r>
          </w:p>
        </w:tc>
        <w:tc>
          <w:tcPr>
            <w:tcW w:w="2025" w:type="dxa"/>
            <w:gridSpan w:val="2"/>
            <w:vAlign w:val="center"/>
          </w:tcPr>
          <w:p>
            <w:pPr>
              <w:ind w:left="-94" w:leftChars="-45" w:right="-145" w:rightChars="-69"/>
              <w:jc w:val="center"/>
              <w:rPr>
                <w:b/>
                <w:szCs w:val="21"/>
              </w:rPr>
            </w:pPr>
            <w:r>
              <w:rPr>
                <w:b/>
                <w:szCs w:val="21"/>
              </w:rPr>
              <w:t>处理措施</w:t>
            </w:r>
          </w:p>
        </w:tc>
        <w:tc>
          <w:tcPr>
            <w:tcW w:w="925" w:type="dxa"/>
            <w:vMerge w:val="restart"/>
            <w:vAlign w:val="center"/>
          </w:tcPr>
          <w:p>
            <w:pPr>
              <w:ind w:left="-94" w:leftChars="-45" w:right="-145" w:rightChars="-69"/>
              <w:jc w:val="center"/>
              <w:rPr>
                <w:b/>
                <w:szCs w:val="21"/>
              </w:rPr>
            </w:pPr>
            <w:r>
              <w:rPr>
                <w:b/>
                <w:szCs w:val="21"/>
              </w:rPr>
              <w:t>污染物</w:t>
            </w:r>
          </w:p>
        </w:tc>
        <w:tc>
          <w:tcPr>
            <w:tcW w:w="2488" w:type="dxa"/>
            <w:gridSpan w:val="3"/>
            <w:vAlign w:val="center"/>
          </w:tcPr>
          <w:p>
            <w:pPr>
              <w:ind w:left="-94" w:leftChars="-45" w:right="-145" w:rightChars="-69"/>
              <w:jc w:val="center"/>
              <w:rPr>
                <w:b/>
                <w:szCs w:val="21"/>
              </w:rPr>
            </w:pPr>
            <w:r>
              <w:rPr>
                <w:b/>
                <w:szCs w:val="21"/>
              </w:rPr>
              <w:t>排放情况</w:t>
            </w:r>
          </w:p>
        </w:tc>
        <w:tc>
          <w:tcPr>
            <w:tcW w:w="1525" w:type="dxa"/>
            <w:gridSpan w:val="3"/>
            <w:vAlign w:val="center"/>
          </w:tcPr>
          <w:p>
            <w:pPr>
              <w:ind w:left="-94" w:leftChars="-45" w:right="-145" w:rightChars="-69"/>
              <w:jc w:val="center"/>
              <w:rPr>
                <w:b/>
                <w:szCs w:val="21"/>
              </w:rPr>
            </w:pPr>
            <w:r>
              <w:rPr>
                <w:b/>
                <w:szCs w:val="21"/>
              </w:rPr>
              <w:t>排放参数</w:t>
            </w:r>
          </w:p>
        </w:tc>
        <w:tc>
          <w:tcPr>
            <w:tcW w:w="664" w:type="dxa"/>
            <w:vMerge w:val="restart"/>
            <w:vAlign w:val="center"/>
          </w:tcPr>
          <w:p>
            <w:pPr>
              <w:ind w:left="-94" w:leftChars="-45" w:right="-145" w:rightChars="-69"/>
              <w:jc w:val="center"/>
              <w:rPr>
                <w:b/>
                <w:spacing w:val="2"/>
                <w:szCs w:val="21"/>
              </w:rPr>
            </w:pPr>
            <w:r>
              <w:rPr>
                <w:b/>
                <w:szCs w:val="21"/>
              </w:rPr>
              <w:t>排放时间/h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3" w:type="dxa"/>
            <w:vMerge w:val="continue"/>
            <w:vAlign w:val="center"/>
          </w:tcPr>
          <w:p>
            <w:pPr>
              <w:jc w:val="center"/>
              <w:rPr>
                <w:b/>
                <w:spacing w:val="2"/>
                <w:szCs w:val="21"/>
              </w:rPr>
            </w:pPr>
          </w:p>
        </w:tc>
        <w:tc>
          <w:tcPr>
            <w:tcW w:w="953" w:type="dxa"/>
            <w:vMerge w:val="continue"/>
            <w:vAlign w:val="center"/>
          </w:tcPr>
          <w:p>
            <w:pPr>
              <w:ind w:left="-94" w:leftChars="-45" w:right="-145" w:rightChars="-69"/>
              <w:jc w:val="center"/>
              <w:rPr>
                <w:b/>
                <w:szCs w:val="21"/>
              </w:rPr>
            </w:pPr>
          </w:p>
        </w:tc>
        <w:tc>
          <w:tcPr>
            <w:tcW w:w="687" w:type="dxa"/>
            <w:vMerge w:val="continue"/>
            <w:vAlign w:val="center"/>
          </w:tcPr>
          <w:p>
            <w:pPr>
              <w:ind w:left="-94" w:leftChars="-45" w:right="-145" w:rightChars="-69"/>
              <w:jc w:val="center"/>
              <w:rPr>
                <w:b/>
                <w:szCs w:val="21"/>
              </w:rPr>
            </w:pPr>
          </w:p>
        </w:tc>
        <w:tc>
          <w:tcPr>
            <w:tcW w:w="838" w:type="dxa"/>
            <w:vMerge w:val="continue"/>
            <w:vAlign w:val="center"/>
          </w:tcPr>
          <w:p>
            <w:pPr>
              <w:ind w:left="-94" w:leftChars="-45" w:right="-145" w:rightChars="-69"/>
              <w:jc w:val="center"/>
              <w:rPr>
                <w:b/>
                <w:szCs w:val="21"/>
              </w:rPr>
            </w:pPr>
          </w:p>
        </w:tc>
        <w:tc>
          <w:tcPr>
            <w:tcW w:w="700" w:type="dxa"/>
            <w:vAlign w:val="center"/>
          </w:tcPr>
          <w:p>
            <w:pPr>
              <w:ind w:left="-94" w:leftChars="-45" w:right="-145" w:rightChars="-69"/>
              <w:jc w:val="center"/>
              <w:rPr>
                <w:b/>
                <w:szCs w:val="21"/>
              </w:rPr>
            </w:pPr>
            <w:r>
              <w:rPr>
                <w:b/>
                <w:szCs w:val="21"/>
              </w:rPr>
              <w:t>核算方法</w:t>
            </w:r>
          </w:p>
        </w:tc>
        <w:tc>
          <w:tcPr>
            <w:tcW w:w="750" w:type="dxa"/>
            <w:vAlign w:val="center"/>
          </w:tcPr>
          <w:p>
            <w:pPr>
              <w:ind w:left="-94" w:leftChars="-45" w:right="-145" w:rightChars="-69"/>
              <w:jc w:val="center"/>
              <w:rPr>
                <w:b/>
                <w:szCs w:val="21"/>
              </w:rPr>
            </w:pPr>
            <w:r>
              <w:rPr>
                <w:b/>
                <w:szCs w:val="21"/>
              </w:rPr>
              <w:t>风量</w:t>
            </w:r>
          </w:p>
          <w:p>
            <w:pPr>
              <w:ind w:left="-94" w:leftChars="-45" w:right="-145" w:rightChars="-69"/>
              <w:jc w:val="center"/>
              <w:rPr>
                <w:b/>
                <w:szCs w:val="21"/>
              </w:rPr>
            </w:pPr>
            <w:r>
              <w:rPr>
                <w:b/>
                <w:szCs w:val="21"/>
              </w:rPr>
              <w:t>m</w:t>
            </w:r>
            <w:r>
              <w:rPr>
                <w:b/>
                <w:szCs w:val="21"/>
                <w:vertAlign w:val="superscript"/>
              </w:rPr>
              <w:t>3</w:t>
            </w:r>
            <w:r>
              <w:rPr>
                <w:b/>
                <w:szCs w:val="21"/>
              </w:rPr>
              <w:t>/h</w:t>
            </w:r>
          </w:p>
        </w:tc>
        <w:tc>
          <w:tcPr>
            <w:tcW w:w="725" w:type="dxa"/>
            <w:vAlign w:val="center"/>
          </w:tcPr>
          <w:p>
            <w:pPr>
              <w:ind w:left="-94" w:leftChars="-45" w:right="-145" w:rightChars="-69"/>
              <w:jc w:val="center"/>
              <w:rPr>
                <w:b/>
                <w:szCs w:val="21"/>
              </w:rPr>
            </w:pPr>
            <w:r>
              <w:rPr>
                <w:b/>
                <w:szCs w:val="21"/>
              </w:rPr>
              <w:t>浓度mg/m</w:t>
            </w:r>
            <w:r>
              <w:rPr>
                <w:b/>
                <w:szCs w:val="21"/>
                <w:vertAlign w:val="superscript"/>
              </w:rPr>
              <w:t>3</w:t>
            </w:r>
          </w:p>
        </w:tc>
        <w:tc>
          <w:tcPr>
            <w:tcW w:w="750" w:type="dxa"/>
            <w:vAlign w:val="center"/>
          </w:tcPr>
          <w:p>
            <w:pPr>
              <w:ind w:left="-94" w:leftChars="-45" w:right="-145" w:rightChars="-69"/>
              <w:jc w:val="center"/>
              <w:rPr>
                <w:b/>
                <w:szCs w:val="21"/>
              </w:rPr>
            </w:pPr>
            <w:r>
              <w:rPr>
                <w:b/>
                <w:szCs w:val="21"/>
              </w:rPr>
              <w:t>速率</w:t>
            </w:r>
          </w:p>
          <w:p>
            <w:pPr>
              <w:ind w:left="-94" w:leftChars="-45" w:right="-145" w:rightChars="-69"/>
              <w:jc w:val="center"/>
              <w:rPr>
                <w:b/>
                <w:szCs w:val="21"/>
              </w:rPr>
            </w:pPr>
            <w:r>
              <w:rPr>
                <w:b/>
                <w:szCs w:val="21"/>
              </w:rPr>
              <w:t>kg/h</w:t>
            </w:r>
          </w:p>
        </w:tc>
        <w:tc>
          <w:tcPr>
            <w:tcW w:w="887" w:type="dxa"/>
            <w:vAlign w:val="center"/>
          </w:tcPr>
          <w:p>
            <w:pPr>
              <w:ind w:left="-94" w:leftChars="-45" w:right="-145" w:rightChars="-69"/>
              <w:jc w:val="center"/>
              <w:rPr>
                <w:b/>
                <w:szCs w:val="21"/>
              </w:rPr>
            </w:pPr>
            <w:r>
              <w:rPr>
                <w:b/>
                <w:szCs w:val="21"/>
              </w:rPr>
              <w:t>产生量</w:t>
            </w:r>
          </w:p>
          <w:p>
            <w:pPr>
              <w:ind w:left="-94" w:leftChars="-45" w:right="-145" w:rightChars="-69"/>
              <w:jc w:val="center"/>
              <w:rPr>
                <w:b/>
                <w:szCs w:val="21"/>
              </w:rPr>
            </w:pPr>
            <w:r>
              <w:rPr>
                <w:b/>
                <w:szCs w:val="21"/>
              </w:rPr>
              <w:t>t/a</w:t>
            </w:r>
          </w:p>
        </w:tc>
        <w:tc>
          <w:tcPr>
            <w:tcW w:w="1225" w:type="dxa"/>
            <w:vAlign w:val="center"/>
          </w:tcPr>
          <w:p>
            <w:pPr>
              <w:ind w:left="-94" w:leftChars="-45" w:right="-145" w:rightChars="-69"/>
              <w:jc w:val="center"/>
              <w:rPr>
                <w:b/>
                <w:szCs w:val="21"/>
              </w:rPr>
            </w:pPr>
            <w:r>
              <w:rPr>
                <w:b/>
                <w:szCs w:val="21"/>
              </w:rPr>
              <w:t>工艺</w:t>
            </w:r>
          </w:p>
        </w:tc>
        <w:tc>
          <w:tcPr>
            <w:tcW w:w="800" w:type="dxa"/>
            <w:vAlign w:val="center"/>
          </w:tcPr>
          <w:p>
            <w:pPr>
              <w:ind w:left="-94" w:leftChars="-45" w:right="-145" w:rightChars="-69"/>
              <w:jc w:val="center"/>
              <w:rPr>
                <w:b/>
                <w:szCs w:val="21"/>
              </w:rPr>
            </w:pPr>
            <w:r>
              <w:rPr>
                <w:b/>
                <w:szCs w:val="21"/>
              </w:rPr>
              <w:t>效率</w:t>
            </w:r>
          </w:p>
          <w:p>
            <w:pPr>
              <w:ind w:left="-94" w:leftChars="-45" w:right="-145" w:rightChars="-69"/>
              <w:jc w:val="center"/>
              <w:rPr>
                <w:b/>
                <w:szCs w:val="21"/>
              </w:rPr>
            </w:pPr>
            <w:r>
              <w:rPr>
                <w:b/>
                <w:szCs w:val="21"/>
              </w:rPr>
              <w:t>%</w:t>
            </w:r>
          </w:p>
        </w:tc>
        <w:tc>
          <w:tcPr>
            <w:tcW w:w="925" w:type="dxa"/>
            <w:vMerge w:val="continue"/>
            <w:vAlign w:val="center"/>
          </w:tcPr>
          <w:p>
            <w:pPr>
              <w:ind w:left="-94" w:leftChars="-45" w:right="-145" w:rightChars="-69"/>
              <w:jc w:val="center"/>
              <w:rPr>
                <w:szCs w:val="21"/>
              </w:rPr>
            </w:pPr>
          </w:p>
        </w:tc>
        <w:tc>
          <w:tcPr>
            <w:tcW w:w="888" w:type="dxa"/>
            <w:vAlign w:val="center"/>
          </w:tcPr>
          <w:p>
            <w:pPr>
              <w:ind w:left="-94" w:leftChars="-45" w:right="-145" w:rightChars="-69"/>
              <w:jc w:val="center"/>
              <w:rPr>
                <w:b/>
                <w:szCs w:val="21"/>
              </w:rPr>
            </w:pPr>
            <w:r>
              <w:rPr>
                <w:b/>
                <w:szCs w:val="21"/>
              </w:rPr>
              <w:t>浓度</w:t>
            </w:r>
          </w:p>
          <w:p>
            <w:pPr>
              <w:ind w:left="-94" w:leftChars="-45" w:right="-145" w:rightChars="-69"/>
              <w:jc w:val="center"/>
              <w:rPr>
                <w:b/>
                <w:szCs w:val="21"/>
              </w:rPr>
            </w:pPr>
            <w:r>
              <w:rPr>
                <w:b/>
                <w:szCs w:val="21"/>
              </w:rPr>
              <w:t>mg/m</w:t>
            </w:r>
            <w:r>
              <w:rPr>
                <w:b/>
                <w:szCs w:val="21"/>
                <w:vertAlign w:val="superscript"/>
              </w:rPr>
              <w:t>3</w:t>
            </w:r>
          </w:p>
        </w:tc>
        <w:tc>
          <w:tcPr>
            <w:tcW w:w="762" w:type="dxa"/>
            <w:vAlign w:val="center"/>
          </w:tcPr>
          <w:p>
            <w:pPr>
              <w:ind w:left="-94" w:leftChars="-45" w:right="-145" w:rightChars="-69"/>
              <w:jc w:val="center"/>
              <w:rPr>
                <w:b/>
                <w:szCs w:val="21"/>
              </w:rPr>
            </w:pPr>
            <w:r>
              <w:rPr>
                <w:b/>
                <w:szCs w:val="21"/>
              </w:rPr>
              <w:t>速率kg/h</w:t>
            </w:r>
          </w:p>
        </w:tc>
        <w:tc>
          <w:tcPr>
            <w:tcW w:w="838" w:type="dxa"/>
            <w:vAlign w:val="center"/>
          </w:tcPr>
          <w:p>
            <w:pPr>
              <w:ind w:left="-94" w:leftChars="-45" w:right="-145" w:rightChars="-69"/>
              <w:jc w:val="center"/>
              <w:rPr>
                <w:b/>
                <w:szCs w:val="21"/>
              </w:rPr>
            </w:pPr>
            <w:r>
              <w:rPr>
                <w:b/>
                <w:szCs w:val="21"/>
              </w:rPr>
              <w:t>排放量t/a</w:t>
            </w:r>
          </w:p>
        </w:tc>
        <w:tc>
          <w:tcPr>
            <w:tcW w:w="512" w:type="dxa"/>
            <w:vAlign w:val="center"/>
          </w:tcPr>
          <w:p>
            <w:pPr>
              <w:ind w:left="-94" w:leftChars="-45" w:right="-145" w:rightChars="-69"/>
              <w:jc w:val="center"/>
              <w:rPr>
                <w:b/>
                <w:szCs w:val="21"/>
              </w:rPr>
            </w:pPr>
            <w:r>
              <w:rPr>
                <w:b/>
                <w:szCs w:val="21"/>
              </w:rPr>
              <w:t>高度m</w:t>
            </w:r>
          </w:p>
        </w:tc>
        <w:tc>
          <w:tcPr>
            <w:tcW w:w="525" w:type="dxa"/>
            <w:vAlign w:val="center"/>
          </w:tcPr>
          <w:p>
            <w:pPr>
              <w:ind w:left="-94" w:leftChars="-45" w:right="-145" w:rightChars="-69"/>
              <w:jc w:val="center"/>
              <w:rPr>
                <w:b/>
                <w:szCs w:val="21"/>
              </w:rPr>
            </w:pPr>
            <w:r>
              <w:rPr>
                <w:b/>
                <w:szCs w:val="21"/>
              </w:rPr>
              <w:t>直径m</w:t>
            </w:r>
          </w:p>
        </w:tc>
        <w:tc>
          <w:tcPr>
            <w:tcW w:w="488" w:type="dxa"/>
            <w:vAlign w:val="center"/>
          </w:tcPr>
          <w:p>
            <w:pPr>
              <w:ind w:left="-94" w:leftChars="-45" w:right="-145" w:rightChars="-69"/>
              <w:jc w:val="center"/>
              <w:rPr>
                <w:b/>
                <w:szCs w:val="21"/>
              </w:rPr>
            </w:pPr>
            <w:r>
              <w:rPr>
                <w:b/>
                <w:szCs w:val="21"/>
              </w:rPr>
              <w:t>温度</w:t>
            </w:r>
            <w:r>
              <w:rPr>
                <w:rFonts w:ascii="宋体"/>
                <w:b/>
                <w:szCs w:val="21"/>
              </w:rPr>
              <w:t>℃</w:t>
            </w:r>
          </w:p>
        </w:tc>
        <w:tc>
          <w:tcPr>
            <w:tcW w:w="664" w:type="dxa"/>
            <w:vMerge w:val="continue"/>
            <w:vAlign w:val="center"/>
          </w:tcPr>
          <w:p>
            <w:pPr>
              <w:jc w:val="center"/>
              <w:rPr>
                <w:b/>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3" w:type="dxa"/>
            <w:vMerge w:val="restart"/>
            <w:vAlign w:val="center"/>
          </w:tcPr>
          <w:p>
            <w:pPr>
              <w:jc w:val="center"/>
              <w:rPr>
                <w:szCs w:val="21"/>
              </w:rPr>
            </w:pPr>
            <w:r>
              <w:rPr>
                <w:rFonts w:hint="eastAsia"/>
                <w:szCs w:val="21"/>
              </w:rPr>
              <w:t>2#生产厂房</w:t>
            </w:r>
          </w:p>
        </w:tc>
        <w:tc>
          <w:tcPr>
            <w:tcW w:w="953" w:type="dxa"/>
            <w:vAlign w:val="center"/>
          </w:tcPr>
          <w:p>
            <w:pPr>
              <w:ind w:left="-67" w:leftChars="-32" w:right="-65" w:rightChars="-31"/>
              <w:jc w:val="center"/>
              <w:rPr>
                <w:szCs w:val="21"/>
              </w:rPr>
            </w:pPr>
            <w:r>
              <w:rPr>
                <w:rFonts w:hint="eastAsia"/>
                <w:szCs w:val="21"/>
              </w:rPr>
              <w:t>片材制作、吸塑、注塑、吹塑</w:t>
            </w:r>
          </w:p>
        </w:tc>
        <w:tc>
          <w:tcPr>
            <w:tcW w:w="687" w:type="dxa"/>
            <w:vAlign w:val="center"/>
          </w:tcPr>
          <w:p>
            <w:pPr>
              <w:jc w:val="center"/>
              <w:rPr>
                <w:szCs w:val="21"/>
              </w:rPr>
            </w:pPr>
            <w:r>
              <w:rPr>
                <w:rFonts w:hint="eastAsia"/>
                <w:szCs w:val="21"/>
              </w:rPr>
              <w:t>2</w:t>
            </w:r>
            <w:r>
              <w:rPr>
                <w:szCs w:val="21"/>
              </w:rPr>
              <w:t>#排气筒</w:t>
            </w:r>
          </w:p>
        </w:tc>
        <w:tc>
          <w:tcPr>
            <w:tcW w:w="838" w:type="dxa"/>
            <w:vAlign w:val="center"/>
          </w:tcPr>
          <w:p>
            <w:pPr>
              <w:ind w:left="-212" w:leftChars="-101" w:right="-145" w:rightChars="-69"/>
              <w:jc w:val="center"/>
              <w:rPr>
                <w:szCs w:val="21"/>
              </w:rPr>
            </w:pPr>
            <w:r>
              <w:rPr>
                <w:rFonts w:hint="eastAsia"/>
                <w:szCs w:val="21"/>
              </w:rPr>
              <w:t>非甲烷</w:t>
            </w:r>
          </w:p>
          <w:p>
            <w:pPr>
              <w:ind w:left="-212" w:leftChars="-101" w:right="-145" w:rightChars="-69"/>
              <w:jc w:val="center"/>
              <w:rPr>
                <w:szCs w:val="21"/>
              </w:rPr>
            </w:pPr>
            <w:r>
              <w:rPr>
                <w:rFonts w:hint="eastAsia"/>
                <w:szCs w:val="21"/>
              </w:rPr>
              <w:t>总烃</w:t>
            </w:r>
          </w:p>
        </w:tc>
        <w:tc>
          <w:tcPr>
            <w:tcW w:w="700" w:type="dxa"/>
            <w:vAlign w:val="center"/>
          </w:tcPr>
          <w:p>
            <w:pPr>
              <w:jc w:val="center"/>
              <w:rPr>
                <w:spacing w:val="2"/>
                <w:szCs w:val="21"/>
              </w:rPr>
            </w:pPr>
            <w:r>
              <w:rPr>
                <w:spacing w:val="2"/>
                <w:szCs w:val="21"/>
              </w:rPr>
              <w:t>经验系数法</w:t>
            </w:r>
          </w:p>
        </w:tc>
        <w:tc>
          <w:tcPr>
            <w:tcW w:w="750" w:type="dxa"/>
            <w:vAlign w:val="center"/>
          </w:tcPr>
          <w:p>
            <w:pPr>
              <w:ind w:left="-189" w:leftChars="-90" w:right="-145" w:rightChars="-69"/>
              <w:jc w:val="center"/>
              <w:rPr>
                <w:szCs w:val="21"/>
              </w:rPr>
            </w:pPr>
            <w:r>
              <w:rPr>
                <w:rFonts w:hint="eastAsia"/>
                <w:szCs w:val="21"/>
              </w:rPr>
              <w:t>25000</w:t>
            </w:r>
          </w:p>
        </w:tc>
        <w:tc>
          <w:tcPr>
            <w:tcW w:w="725" w:type="dxa"/>
            <w:vAlign w:val="center"/>
          </w:tcPr>
          <w:p>
            <w:pPr>
              <w:jc w:val="center"/>
              <w:rPr>
                <w:szCs w:val="21"/>
              </w:rPr>
            </w:pPr>
            <w:r>
              <w:rPr>
                <w:rFonts w:hint="eastAsia"/>
                <w:szCs w:val="21"/>
              </w:rPr>
              <w:t>16.4</w:t>
            </w:r>
          </w:p>
        </w:tc>
        <w:tc>
          <w:tcPr>
            <w:tcW w:w="750" w:type="dxa"/>
            <w:vAlign w:val="center"/>
          </w:tcPr>
          <w:p>
            <w:pPr>
              <w:jc w:val="center"/>
              <w:rPr>
                <w:szCs w:val="21"/>
              </w:rPr>
            </w:pPr>
            <w:r>
              <w:rPr>
                <w:rFonts w:hint="eastAsia"/>
                <w:szCs w:val="21"/>
              </w:rPr>
              <w:t>0.41</w:t>
            </w:r>
          </w:p>
        </w:tc>
        <w:tc>
          <w:tcPr>
            <w:tcW w:w="887" w:type="dxa"/>
            <w:vAlign w:val="center"/>
          </w:tcPr>
          <w:p>
            <w:pPr>
              <w:jc w:val="center"/>
              <w:rPr>
                <w:spacing w:val="2"/>
                <w:szCs w:val="21"/>
              </w:rPr>
            </w:pPr>
            <w:r>
              <w:rPr>
                <w:rFonts w:hint="eastAsia"/>
                <w:spacing w:val="2"/>
                <w:szCs w:val="21"/>
              </w:rPr>
              <w:t>1.23</w:t>
            </w:r>
          </w:p>
        </w:tc>
        <w:tc>
          <w:tcPr>
            <w:tcW w:w="1225" w:type="dxa"/>
            <w:vAlign w:val="center"/>
          </w:tcPr>
          <w:p>
            <w:pPr>
              <w:ind w:left="-94" w:leftChars="-45" w:right="-145" w:rightChars="-69"/>
              <w:jc w:val="center"/>
              <w:rPr>
                <w:szCs w:val="21"/>
              </w:rPr>
            </w:pPr>
            <w:r>
              <w:rPr>
                <w:rFonts w:hint="eastAsia"/>
                <w:szCs w:val="21"/>
              </w:rPr>
              <w:t>集气罩收集+二级活性炭吸附处理</w:t>
            </w:r>
          </w:p>
        </w:tc>
        <w:tc>
          <w:tcPr>
            <w:tcW w:w="800" w:type="dxa"/>
            <w:vAlign w:val="center"/>
          </w:tcPr>
          <w:p>
            <w:pPr>
              <w:jc w:val="center"/>
              <w:rPr>
                <w:spacing w:val="2"/>
                <w:szCs w:val="21"/>
              </w:rPr>
            </w:pPr>
            <w:r>
              <w:rPr>
                <w:spacing w:val="2"/>
                <w:szCs w:val="21"/>
              </w:rPr>
              <w:t>9</w:t>
            </w:r>
            <w:r>
              <w:rPr>
                <w:rFonts w:hint="eastAsia"/>
                <w:spacing w:val="2"/>
                <w:szCs w:val="21"/>
              </w:rPr>
              <w:t>0</w:t>
            </w:r>
          </w:p>
        </w:tc>
        <w:tc>
          <w:tcPr>
            <w:tcW w:w="925" w:type="dxa"/>
            <w:vAlign w:val="center"/>
          </w:tcPr>
          <w:p>
            <w:pPr>
              <w:ind w:left="-212" w:leftChars="-101" w:right="-145" w:rightChars="-69"/>
              <w:jc w:val="center"/>
              <w:rPr>
                <w:szCs w:val="21"/>
              </w:rPr>
            </w:pPr>
            <w:r>
              <w:rPr>
                <w:rFonts w:hint="eastAsia"/>
                <w:szCs w:val="21"/>
              </w:rPr>
              <w:t>非甲烷</w:t>
            </w:r>
          </w:p>
          <w:p>
            <w:pPr>
              <w:ind w:left="-212" w:leftChars="-101" w:right="-145" w:rightChars="-69"/>
              <w:jc w:val="center"/>
              <w:rPr>
                <w:szCs w:val="21"/>
              </w:rPr>
            </w:pPr>
            <w:r>
              <w:rPr>
                <w:rFonts w:hint="eastAsia"/>
                <w:szCs w:val="21"/>
              </w:rPr>
              <w:t>总烃</w:t>
            </w:r>
          </w:p>
        </w:tc>
        <w:tc>
          <w:tcPr>
            <w:tcW w:w="888" w:type="dxa"/>
            <w:vAlign w:val="center"/>
          </w:tcPr>
          <w:p>
            <w:pPr>
              <w:jc w:val="center"/>
              <w:rPr>
                <w:szCs w:val="21"/>
              </w:rPr>
            </w:pPr>
            <w:r>
              <w:rPr>
                <w:rFonts w:hint="eastAsia"/>
                <w:szCs w:val="21"/>
              </w:rPr>
              <w:t>1.64</w:t>
            </w:r>
          </w:p>
        </w:tc>
        <w:tc>
          <w:tcPr>
            <w:tcW w:w="762" w:type="dxa"/>
            <w:vAlign w:val="center"/>
          </w:tcPr>
          <w:p>
            <w:pPr>
              <w:jc w:val="center"/>
              <w:rPr>
                <w:szCs w:val="21"/>
              </w:rPr>
            </w:pPr>
            <w:r>
              <w:rPr>
                <w:rFonts w:hint="eastAsia"/>
                <w:szCs w:val="21"/>
              </w:rPr>
              <w:t>0.041</w:t>
            </w:r>
          </w:p>
        </w:tc>
        <w:tc>
          <w:tcPr>
            <w:tcW w:w="838" w:type="dxa"/>
            <w:vAlign w:val="center"/>
          </w:tcPr>
          <w:p>
            <w:pPr>
              <w:jc w:val="center"/>
              <w:rPr>
                <w:spacing w:val="2"/>
                <w:szCs w:val="21"/>
              </w:rPr>
            </w:pPr>
            <w:r>
              <w:rPr>
                <w:rFonts w:hint="eastAsia"/>
                <w:spacing w:val="2"/>
                <w:szCs w:val="21"/>
              </w:rPr>
              <w:t>0.123</w:t>
            </w:r>
          </w:p>
        </w:tc>
        <w:tc>
          <w:tcPr>
            <w:tcW w:w="512" w:type="dxa"/>
            <w:vAlign w:val="center"/>
          </w:tcPr>
          <w:p>
            <w:pPr>
              <w:jc w:val="center"/>
              <w:rPr>
                <w:spacing w:val="2"/>
                <w:szCs w:val="21"/>
              </w:rPr>
            </w:pPr>
            <w:r>
              <w:rPr>
                <w:spacing w:val="2"/>
                <w:szCs w:val="21"/>
              </w:rPr>
              <w:t>15</w:t>
            </w:r>
          </w:p>
        </w:tc>
        <w:tc>
          <w:tcPr>
            <w:tcW w:w="525" w:type="dxa"/>
            <w:vAlign w:val="center"/>
          </w:tcPr>
          <w:p>
            <w:pPr>
              <w:jc w:val="center"/>
              <w:rPr>
                <w:spacing w:val="2"/>
                <w:szCs w:val="21"/>
              </w:rPr>
            </w:pPr>
            <w:r>
              <w:rPr>
                <w:rFonts w:hint="eastAsia"/>
                <w:spacing w:val="2"/>
                <w:szCs w:val="21"/>
              </w:rPr>
              <w:t>0.5</w:t>
            </w:r>
          </w:p>
        </w:tc>
        <w:tc>
          <w:tcPr>
            <w:tcW w:w="488" w:type="dxa"/>
            <w:vAlign w:val="center"/>
          </w:tcPr>
          <w:p>
            <w:pPr>
              <w:jc w:val="center"/>
              <w:rPr>
                <w:spacing w:val="2"/>
                <w:szCs w:val="21"/>
              </w:rPr>
            </w:pPr>
            <w:r>
              <w:rPr>
                <w:rFonts w:hint="eastAsia"/>
                <w:spacing w:val="2"/>
                <w:szCs w:val="21"/>
              </w:rPr>
              <w:t>25</w:t>
            </w:r>
          </w:p>
        </w:tc>
        <w:tc>
          <w:tcPr>
            <w:tcW w:w="664" w:type="dxa"/>
            <w:vAlign w:val="center"/>
          </w:tcPr>
          <w:p>
            <w:pPr>
              <w:jc w:val="center"/>
              <w:rPr>
                <w:spacing w:val="2"/>
                <w:szCs w:val="21"/>
              </w:rPr>
            </w:pPr>
            <w:r>
              <w:rPr>
                <w:rFonts w:hint="eastAsia"/>
                <w:spacing w:val="2"/>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3" w:type="dxa"/>
            <w:vMerge w:val="continue"/>
            <w:vAlign w:val="center"/>
          </w:tcPr>
          <w:p>
            <w:pPr>
              <w:jc w:val="center"/>
              <w:rPr>
                <w:szCs w:val="21"/>
              </w:rPr>
            </w:pPr>
          </w:p>
        </w:tc>
        <w:tc>
          <w:tcPr>
            <w:tcW w:w="953" w:type="dxa"/>
            <w:vAlign w:val="center"/>
          </w:tcPr>
          <w:p>
            <w:pPr>
              <w:ind w:left="-67" w:leftChars="-32" w:right="-65" w:rightChars="-31"/>
              <w:jc w:val="center"/>
              <w:rPr>
                <w:szCs w:val="21"/>
              </w:rPr>
            </w:pPr>
            <w:r>
              <w:rPr>
                <w:rFonts w:hint="eastAsia"/>
                <w:szCs w:val="21"/>
              </w:rPr>
              <w:t>粉碎</w:t>
            </w:r>
          </w:p>
        </w:tc>
        <w:tc>
          <w:tcPr>
            <w:tcW w:w="687" w:type="dxa"/>
            <w:vAlign w:val="center"/>
          </w:tcPr>
          <w:p>
            <w:pPr>
              <w:jc w:val="center"/>
              <w:rPr>
                <w:szCs w:val="21"/>
              </w:rPr>
            </w:pPr>
            <w:r>
              <w:rPr>
                <w:rFonts w:hint="eastAsia"/>
                <w:szCs w:val="21"/>
              </w:rPr>
              <w:t>3#排气筒</w:t>
            </w:r>
          </w:p>
        </w:tc>
        <w:tc>
          <w:tcPr>
            <w:tcW w:w="838" w:type="dxa"/>
            <w:vAlign w:val="center"/>
          </w:tcPr>
          <w:p>
            <w:pPr>
              <w:ind w:left="-212" w:leftChars="-101" w:right="-145" w:rightChars="-69"/>
              <w:jc w:val="center"/>
              <w:rPr>
                <w:szCs w:val="21"/>
              </w:rPr>
            </w:pPr>
            <w:r>
              <w:rPr>
                <w:rFonts w:hint="eastAsia"/>
                <w:szCs w:val="21"/>
              </w:rPr>
              <w:t>颗粒物</w:t>
            </w:r>
          </w:p>
        </w:tc>
        <w:tc>
          <w:tcPr>
            <w:tcW w:w="700" w:type="dxa"/>
            <w:vAlign w:val="center"/>
          </w:tcPr>
          <w:p>
            <w:pPr>
              <w:jc w:val="center"/>
              <w:rPr>
                <w:spacing w:val="2"/>
                <w:szCs w:val="21"/>
              </w:rPr>
            </w:pPr>
            <w:r>
              <w:rPr>
                <w:rFonts w:hint="eastAsia"/>
                <w:spacing w:val="2"/>
                <w:szCs w:val="21"/>
              </w:rPr>
              <w:t>类比法</w:t>
            </w:r>
          </w:p>
        </w:tc>
        <w:tc>
          <w:tcPr>
            <w:tcW w:w="750" w:type="dxa"/>
            <w:vAlign w:val="center"/>
          </w:tcPr>
          <w:p>
            <w:pPr>
              <w:ind w:left="-189" w:leftChars="-90" w:right="-145" w:rightChars="-69"/>
              <w:jc w:val="center"/>
              <w:rPr>
                <w:szCs w:val="21"/>
              </w:rPr>
            </w:pPr>
            <w:r>
              <w:rPr>
                <w:rFonts w:hint="eastAsia"/>
                <w:szCs w:val="21"/>
              </w:rPr>
              <w:t>6000</w:t>
            </w:r>
          </w:p>
        </w:tc>
        <w:tc>
          <w:tcPr>
            <w:tcW w:w="725" w:type="dxa"/>
            <w:vAlign w:val="center"/>
          </w:tcPr>
          <w:p>
            <w:pPr>
              <w:jc w:val="center"/>
              <w:rPr>
                <w:szCs w:val="21"/>
              </w:rPr>
            </w:pPr>
            <w:r>
              <w:rPr>
                <w:rFonts w:hint="eastAsia"/>
                <w:szCs w:val="21"/>
              </w:rPr>
              <w:t>312.5</w:t>
            </w:r>
          </w:p>
        </w:tc>
        <w:tc>
          <w:tcPr>
            <w:tcW w:w="750" w:type="dxa"/>
            <w:vAlign w:val="center"/>
          </w:tcPr>
          <w:p>
            <w:pPr>
              <w:jc w:val="center"/>
              <w:rPr>
                <w:szCs w:val="21"/>
              </w:rPr>
            </w:pPr>
            <w:r>
              <w:rPr>
                <w:rFonts w:hint="eastAsia"/>
                <w:szCs w:val="21"/>
              </w:rPr>
              <w:t>1.875</w:t>
            </w:r>
          </w:p>
        </w:tc>
        <w:tc>
          <w:tcPr>
            <w:tcW w:w="887" w:type="dxa"/>
            <w:vAlign w:val="center"/>
          </w:tcPr>
          <w:p>
            <w:pPr>
              <w:jc w:val="center"/>
              <w:rPr>
                <w:szCs w:val="21"/>
              </w:rPr>
            </w:pPr>
            <w:r>
              <w:rPr>
                <w:rFonts w:hint="eastAsia"/>
                <w:szCs w:val="21"/>
              </w:rPr>
              <w:t>1.125</w:t>
            </w:r>
          </w:p>
        </w:tc>
        <w:tc>
          <w:tcPr>
            <w:tcW w:w="1225" w:type="dxa"/>
            <w:vAlign w:val="center"/>
          </w:tcPr>
          <w:p>
            <w:pPr>
              <w:ind w:left="-94" w:leftChars="-45" w:right="-145" w:rightChars="-69"/>
              <w:jc w:val="center"/>
              <w:rPr>
                <w:szCs w:val="21"/>
              </w:rPr>
            </w:pPr>
            <w:r>
              <w:rPr>
                <w:rFonts w:hint="eastAsia"/>
                <w:szCs w:val="21"/>
              </w:rPr>
              <w:t>集气罩收集+布袋除尘装置处理</w:t>
            </w:r>
          </w:p>
        </w:tc>
        <w:tc>
          <w:tcPr>
            <w:tcW w:w="800" w:type="dxa"/>
            <w:vAlign w:val="center"/>
          </w:tcPr>
          <w:p>
            <w:pPr>
              <w:ind w:left="-94" w:leftChars="-45" w:right="-145" w:rightChars="-69"/>
              <w:jc w:val="center"/>
              <w:rPr>
                <w:szCs w:val="21"/>
              </w:rPr>
            </w:pPr>
            <w:r>
              <w:rPr>
                <w:rFonts w:hint="eastAsia"/>
                <w:szCs w:val="21"/>
              </w:rPr>
              <w:t>90</w:t>
            </w:r>
          </w:p>
        </w:tc>
        <w:tc>
          <w:tcPr>
            <w:tcW w:w="925" w:type="dxa"/>
            <w:vAlign w:val="center"/>
          </w:tcPr>
          <w:p>
            <w:pPr>
              <w:ind w:left="-212" w:leftChars="-101" w:right="-145" w:rightChars="-69"/>
              <w:jc w:val="center"/>
              <w:rPr>
                <w:szCs w:val="21"/>
              </w:rPr>
            </w:pPr>
            <w:r>
              <w:rPr>
                <w:rFonts w:hint="eastAsia"/>
                <w:szCs w:val="21"/>
              </w:rPr>
              <w:t>颗粒物</w:t>
            </w:r>
          </w:p>
        </w:tc>
        <w:tc>
          <w:tcPr>
            <w:tcW w:w="888" w:type="dxa"/>
            <w:vAlign w:val="center"/>
          </w:tcPr>
          <w:p>
            <w:pPr>
              <w:jc w:val="center"/>
              <w:rPr>
                <w:szCs w:val="21"/>
              </w:rPr>
            </w:pPr>
            <w:r>
              <w:rPr>
                <w:rFonts w:hint="eastAsia"/>
                <w:szCs w:val="21"/>
              </w:rPr>
              <w:t>15.6</w:t>
            </w:r>
          </w:p>
        </w:tc>
        <w:tc>
          <w:tcPr>
            <w:tcW w:w="762" w:type="dxa"/>
            <w:vAlign w:val="center"/>
          </w:tcPr>
          <w:p>
            <w:pPr>
              <w:jc w:val="center"/>
              <w:rPr>
                <w:szCs w:val="21"/>
              </w:rPr>
            </w:pPr>
            <w:r>
              <w:rPr>
                <w:rFonts w:hint="eastAsia"/>
                <w:szCs w:val="21"/>
              </w:rPr>
              <w:t>0.094</w:t>
            </w:r>
          </w:p>
        </w:tc>
        <w:tc>
          <w:tcPr>
            <w:tcW w:w="838" w:type="dxa"/>
            <w:vAlign w:val="center"/>
          </w:tcPr>
          <w:p>
            <w:pPr>
              <w:jc w:val="center"/>
              <w:rPr>
                <w:spacing w:val="2"/>
                <w:szCs w:val="21"/>
              </w:rPr>
            </w:pPr>
            <w:r>
              <w:rPr>
                <w:rFonts w:hint="eastAsia"/>
                <w:spacing w:val="2"/>
                <w:szCs w:val="21"/>
              </w:rPr>
              <w:t>0.056</w:t>
            </w:r>
          </w:p>
        </w:tc>
        <w:tc>
          <w:tcPr>
            <w:tcW w:w="512" w:type="dxa"/>
            <w:vAlign w:val="center"/>
          </w:tcPr>
          <w:p>
            <w:pPr>
              <w:jc w:val="center"/>
              <w:rPr>
                <w:spacing w:val="2"/>
                <w:szCs w:val="21"/>
              </w:rPr>
            </w:pPr>
            <w:r>
              <w:rPr>
                <w:rFonts w:hint="eastAsia"/>
                <w:spacing w:val="2"/>
                <w:szCs w:val="21"/>
              </w:rPr>
              <w:t>15</w:t>
            </w:r>
          </w:p>
        </w:tc>
        <w:tc>
          <w:tcPr>
            <w:tcW w:w="525" w:type="dxa"/>
            <w:vAlign w:val="center"/>
          </w:tcPr>
          <w:p>
            <w:pPr>
              <w:jc w:val="center"/>
              <w:rPr>
                <w:spacing w:val="2"/>
                <w:szCs w:val="21"/>
              </w:rPr>
            </w:pPr>
            <w:r>
              <w:rPr>
                <w:rFonts w:hint="eastAsia"/>
                <w:spacing w:val="2"/>
                <w:szCs w:val="21"/>
              </w:rPr>
              <w:t>0.4</w:t>
            </w:r>
          </w:p>
        </w:tc>
        <w:tc>
          <w:tcPr>
            <w:tcW w:w="488" w:type="dxa"/>
            <w:vAlign w:val="center"/>
          </w:tcPr>
          <w:p>
            <w:pPr>
              <w:jc w:val="center"/>
              <w:rPr>
                <w:spacing w:val="2"/>
                <w:szCs w:val="21"/>
              </w:rPr>
            </w:pPr>
            <w:r>
              <w:rPr>
                <w:rFonts w:hint="eastAsia"/>
                <w:spacing w:val="2"/>
                <w:szCs w:val="21"/>
              </w:rPr>
              <w:t>25</w:t>
            </w:r>
          </w:p>
        </w:tc>
        <w:tc>
          <w:tcPr>
            <w:tcW w:w="664" w:type="dxa"/>
            <w:vAlign w:val="center"/>
          </w:tcPr>
          <w:p>
            <w:pPr>
              <w:jc w:val="center"/>
              <w:rPr>
                <w:spacing w:val="2"/>
                <w:szCs w:val="21"/>
              </w:rPr>
            </w:pPr>
            <w:r>
              <w:rPr>
                <w:rFonts w:hint="eastAsia"/>
                <w:spacing w:val="2"/>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3" w:type="dxa"/>
            <w:vAlign w:val="center"/>
          </w:tcPr>
          <w:p>
            <w:pPr>
              <w:jc w:val="center"/>
              <w:rPr>
                <w:szCs w:val="21"/>
              </w:rPr>
            </w:pPr>
            <w:r>
              <w:rPr>
                <w:rFonts w:hint="eastAsia"/>
                <w:szCs w:val="21"/>
              </w:rPr>
              <w:t>食堂</w:t>
            </w:r>
          </w:p>
        </w:tc>
        <w:tc>
          <w:tcPr>
            <w:tcW w:w="953" w:type="dxa"/>
            <w:vAlign w:val="center"/>
          </w:tcPr>
          <w:p>
            <w:pPr>
              <w:ind w:left="-67" w:leftChars="-32" w:right="-65" w:rightChars="-31"/>
              <w:jc w:val="center"/>
              <w:rPr>
                <w:szCs w:val="21"/>
              </w:rPr>
            </w:pPr>
            <w:r>
              <w:rPr>
                <w:rFonts w:hint="eastAsia"/>
                <w:szCs w:val="21"/>
              </w:rPr>
              <w:t>食堂</w:t>
            </w:r>
          </w:p>
        </w:tc>
        <w:tc>
          <w:tcPr>
            <w:tcW w:w="687" w:type="dxa"/>
            <w:vAlign w:val="center"/>
          </w:tcPr>
          <w:p>
            <w:pPr>
              <w:jc w:val="center"/>
              <w:rPr>
                <w:szCs w:val="21"/>
              </w:rPr>
            </w:pPr>
            <w:r>
              <w:rPr>
                <w:rFonts w:hint="eastAsia"/>
                <w:szCs w:val="21"/>
              </w:rPr>
              <w:t>4#排气筒</w:t>
            </w:r>
          </w:p>
        </w:tc>
        <w:tc>
          <w:tcPr>
            <w:tcW w:w="838" w:type="dxa"/>
            <w:vAlign w:val="center"/>
          </w:tcPr>
          <w:p>
            <w:pPr>
              <w:ind w:left="-212" w:leftChars="-101" w:right="-145" w:rightChars="-69"/>
              <w:jc w:val="center"/>
              <w:rPr>
                <w:szCs w:val="21"/>
              </w:rPr>
            </w:pPr>
            <w:r>
              <w:rPr>
                <w:rFonts w:hint="eastAsia"/>
                <w:szCs w:val="21"/>
              </w:rPr>
              <w:t>油烟</w:t>
            </w:r>
          </w:p>
        </w:tc>
        <w:tc>
          <w:tcPr>
            <w:tcW w:w="700" w:type="dxa"/>
            <w:vAlign w:val="center"/>
          </w:tcPr>
          <w:p>
            <w:pPr>
              <w:jc w:val="center"/>
              <w:rPr>
                <w:spacing w:val="2"/>
                <w:szCs w:val="21"/>
              </w:rPr>
            </w:pPr>
            <w:r>
              <w:rPr>
                <w:spacing w:val="2"/>
                <w:szCs w:val="21"/>
              </w:rPr>
              <w:t>经验系数法</w:t>
            </w:r>
          </w:p>
        </w:tc>
        <w:tc>
          <w:tcPr>
            <w:tcW w:w="750" w:type="dxa"/>
            <w:vAlign w:val="center"/>
          </w:tcPr>
          <w:p>
            <w:pPr>
              <w:ind w:left="-189" w:leftChars="-90" w:right="-145" w:rightChars="-69"/>
              <w:jc w:val="center"/>
              <w:rPr>
                <w:szCs w:val="21"/>
              </w:rPr>
            </w:pPr>
            <w:r>
              <w:rPr>
                <w:rFonts w:hint="eastAsia"/>
                <w:szCs w:val="21"/>
              </w:rPr>
              <w:t>20000</w:t>
            </w:r>
          </w:p>
        </w:tc>
        <w:tc>
          <w:tcPr>
            <w:tcW w:w="725" w:type="dxa"/>
            <w:vAlign w:val="center"/>
          </w:tcPr>
          <w:p>
            <w:pPr>
              <w:jc w:val="center"/>
              <w:rPr>
                <w:szCs w:val="21"/>
              </w:rPr>
            </w:pPr>
            <w:r>
              <w:rPr>
                <w:rFonts w:hint="eastAsia"/>
                <w:szCs w:val="21"/>
              </w:rPr>
              <w:t>5.9</w:t>
            </w:r>
          </w:p>
        </w:tc>
        <w:tc>
          <w:tcPr>
            <w:tcW w:w="750" w:type="dxa"/>
            <w:vAlign w:val="center"/>
          </w:tcPr>
          <w:p>
            <w:pPr>
              <w:jc w:val="center"/>
              <w:rPr>
                <w:szCs w:val="21"/>
              </w:rPr>
            </w:pPr>
            <w:r>
              <w:rPr>
                <w:rFonts w:hint="eastAsia"/>
                <w:szCs w:val="21"/>
              </w:rPr>
              <w:t>0.118</w:t>
            </w:r>
          </w:p>
        </w:tc>
        <w:tc>
          <w:tcPr>
            <w:tcW w:w="887" w:type="dxa"/>
            <w:vAlign w:val="center"/>
          </w:tcPr>
          <w:p>
            <w:pPr>
              <w:jc w:val="center"/>
              <w:rPr>
                <w:szCs w:val="21"/>
              </w:rPr>
            </w:pPr>
            <w:r>
              <w:rPr>
                <w:rFonts w:hint="eastAsia"/>
                <w:szCs w:val="21"/>
              </w:rPr>
              <w:t>0.106</w:t>
            </w:r>
          </w:p>
        </w:tc>
        <w:tc>
          <w:tcPr>
            <w:tcW w:w="1225" w:type="dxa"/>
            <w:vAlign w:val="center"/>
          </w:tcPr>
          <w:p>
            <w:pPr>
              <w:ind w:left="-94" w:leftChars="-45" w:right="-145" w:rightChars="-69"/>
              <w:jc w:val="center"/>
              <w:rPr>
                <w:rFonts w:hint="eastAsia" w:eastAsia="宋体"/>
                <w:szCs w:val="21"/>
                <w:lang w:eastAsia="zh-CN"/>
              </w:rPr>
            </w:pPr>
            <w:r>
              <w:rPr>
                <w:rFonts w:hint="eastAsia"/>
                <w:szCs w:val="21"/>
                <w:lang w:eastAsia="zh-CN"/>
              </w:rPr>
              <w:t>利用现有</w:t>
            </w:r>
          </w:p>
        </w:tc>
        <w:tc>
          <w:tcPr>
            <w:tcW w:w="800" w:type="dxa"/>
            <w:vAlign w:val="center"/>
          </w:tcPr>
          <w:p>
            <w:pPr>
              <w:ind w:left="-94" w:leftChars="-45" w:right="-145" w:rightChars="-69"/>
              <w:jc w:val="center"/>
              <w:rPr>
                <w:szCs w:val="21"/>
              </w:rPr>
            </w:pPr>
            <w:r>
              <w:rPr>
                <w:rFonts w:hint="eastAsia"/>
                <w:szCs w:val="21"/>
              </w:rPr>
              <w:t>75</w:t>
            </w:r>
          </w:p>
        </w:tc>
        <w:tc>
          <w:tcPr>
            <w:tcW w:w="925" w:type="dxa"/>
            <w:vAlign w:val="center"/>
          </w:tcPr>
          <w:p>
            <w:pPr>
              <w:ind w:left="-212" w:leftChars="-101" w:right="-145" w:rightChars="-69"/>
              <w:jc w:val="center"/>
              <w:rPr>
                <w:szCs w:val="21"/>
              </w:rPr>
            </w:pPr>
            <w:r>
              <w:rPr>
                <w:rFonts w:hint="eastAsia"/>
                <w:szCs w:val="21"/>
              </w:rPr>
              <w:t>油烟</w:t>
            </w:r>
          </w:p>
        </w:tc>
        <w:tc>
          <w:tcPr>
            <w:tcW w:w="888" w:type="dxa"/>
            <w:vAlign w:val="center"/>
          </w:tcPr>
          <w:p>
            <w:pPr>
              <w:jc w:val="center"/>
              <w:rPr>
                <w:szCs w:val="21"/>
              </w:rPr>
            </w:pPr>
            <w:r>
              <w:rPr>
                <w:rFonts w:hint="eastAsia"/>
                <w:szCs w:val="21"/>
              </w:rPr>
              <w:t>1.5</w:t>
            </w:r>
          </w:p>
        </w:tc>
        <w:tc>
          <w:tcPr>
            <w:tcW w:w="762" w:type="dxa"/>
            <w:vAlign w:val="center"/>
          </w:tcPr>
          <w:p>
            <w:pPr>
              <w:jc w:val="center"/>
              <w:rPr>
                <w:szCs w:val="21"/>
              </w:rPr>
            </w:pPr>
            <w:r>
              <w:rPr>
                <w:rFonts w:hint="eastAsia"/>
                <w:szCs w:val="21"/>
              </w:rPr>
              <w:t>0.03</w:t>
            </w:r>
          </w:p>
        </w:tc>
        <w:tc>
          <w:tcPr>
            <w:tcW w:w="838" w:type="dxa"/>
            <w:vAlign w:val="center"/>
          </w:tcPr>
          <w:p>
            <w:pPr>
              <w:jc w:val="center"/>
              <w:rPr>
                <w:spacing w:val="2"/>
                <w:szCs w:val="21"/>
              </w:rPr>
            </w:pPr>
            <w:r>
              <w:rPr>
                <w:rFonts w:hint="eastAsia"/>
                <w:spacing w:val="2"/>
                <w:szCs w:val="21"/>
              </w:rPr>
              <w:t>0.027</w:t>
            </w:r>
          </w:p>
        </w:tc>
        <w:tc>
          <w:tcPr>
            <w:tcW w:w="512" w:type="dxa"/>
            <w:vAlign w:val="center"/>
          </w:tcPr>
          <w:p>
            <w:pPr>
              <w:jc w:val="center"/>
              <w:rPr>
                <w:spacing w:val="2"/>
                <w:szCs w:val="21"/>
              </w:rPr>
            </w:pPr>
            <w:r>
              <w:rPr>
                <w:rFonts w:hint="eastAsia"/>
                <w:spacing w:val="2"/>
                <w:szCs w:val="21"/>
              </w:rPr>
              <w:t>15</w:t>
            </w:r>
          </w:p>
        </w:tc>
        <w:tc>
          <w:tcPr>
            <w:tcW w:w="525" w:type="dxa"/>
            <w:vAlign w:val="center"/>
          </w:tcPr>
          <w:p>
            <w:pPr>
              <w:jc w:val="center"/>
              <w:rPr>
                <w:spacing w:val="2"/>
                <w:szCs w:val="21"/>
              </w:rPr>
            </w:pPr>
            <w:r>
              <w:rPr>
                <w:rFonts w:hint="eastAsia"/>
                <w:spacing w:val="2"/>
                <w:szCs w:val="21"/>
              </w:rPr>
              <w:t>0.3</w:t>
            </w:r>
          </w:p>
        </w:tc>
        <w:tc>
          <w:tcPr>
            <w:tcW w:w="488" w:type="dxa"/>
            <w:vAlign w:val="center"/>
          </w:tcPr>
          <w:p>
            <w:pPr>
              <w:jc w:val="center"/>
              <w:rPr>
                <w:spacing w:val="2"/>
                <w:szCs w:val="21"/>
              </w:rPr>
            </w:pPr>
            <w:r>
              <w:rPr>
                <w:rFonts w:hint="eastAsia"/>
                <w:spacing w:val="2"/>
                <w:szCs w:val="21"/>
              </w:rPr>
              <w:t>30</w:t>
            </w:r>
          </w:p>
        </w:tc>
        <w:tc>
          <w:tcPr>
            <w:tcW w:w="664" w:type="dxa"/>
            <w:vAlign w:val="center"/>
          </w:tcPr>
          <w:p>
            <w:pPr>
              <w:jc w:val="center"/>
              <w:rPr>
                <w:spacing w:val="2"/>
                <w:szCs w:val="21"/>
              </w:rPr>
            </w:pPr>
            <w:r>
              <w:rPr>
                <w:rFonts w:hint="eastAsia"/>
                <w:spacing w:val="2"/>
                <w:szCs w:val="21"/>
              </w:rPr>
              <w:t>900</w:t>
            </w:r>
          </w:p>
        </w:tc>
      </w:tr>
    </w:tbl>
    <w:p>
      <w:pPr>
        <w:tabs>
          <w:tab w:val="left" w:pos="2730"/>
          <w:tab w:val="center" w:pos="4991"/>
        </w:tabs>
        <w:autoSpaceDE w:val="0"/>
        <w:autoSpaceDN w:val="0"/>
        <w:adjustRightInd w:val="0"/>
        <w:spacing w:before="120" w:beforeLines="50" w:line="360" w:lineRule="auto"/>
        <w:ind w:firstLine="4578" w:firstLineChars="1900"/>
        <w:rPr>
          <w:b/>
          <w:sz w:val="24"/>
        </w:rPr>
      </w:pPr>
      <w:r>
        <w:rPr>
          <w:b/>
          <w:sz w:val="24"/>
        </w:rPr>
        <w:t>表</w:t>
      </w:r>
      <w:r>
        <w:rPr>
          <w:rFonts w:hint="eastAsia"/>
          <w:b/>
          <w:sz w:val="24"/>
        </w:rPr>
        <w:t>4-2</w:t>
      </w:r>
      <w:r>
        <w:rPr>
          <w:b/>
          <w:sz w:val="24"/>
        </w:rPr>
        <w:t xml:space="preserve">   本项目无组织排放废气产排情况</w:t>
      </w:r>
    </w:p>
    <w:tbl>
      <w:tblPr>
        <w:tblStyle w:val="22"/>
        <w:tblW w:w="14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3"/>
        <w:gridCol w:w="2106"/>
        <w:gridCol w:w="2108"/>
        <w:gridCol w:w="2114"/>
        <w:gridCol w:w="2103"/>
        <w:gridCol w:w="2103"/>
        <w:gridCol w:w="2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3" w:type="dxa"/>
            <w:vAlign w:val="center"/>
          </w:tcPr>
          <w:p>
            <w:pPr>
              <w:jc w:val="center"/>
              <w:rPr>
                <w:b/>
                <w:szCs w:val="21"/>
              </w:rPr>
            </w:pPr>
            <w:r>
              <w:rPr>
                <w:b/>
                <w:szCs w:val="21"/>
              </w:rPr>
              <w:t>污染源</w:t>
            </w:r>
          </w:p>
        </w:tc>
        <w:tc>
          <w:tcPr>
            <w:tcW w:w="2106" w:type="dxa"/>
            <w:vAlign w:val="center"/>
          </w:tcPr>
          <w:p>
            <w:pPr>
              <w:jc w:val="center"/>
              <w:rPr>
                <w:b/>
                <w:szCs w:val="21"/>
              </w:rPr>
            </w:pPr>
            <w:r>
              <w:rPr>
                <w:b/>
                <w:szCs w:val="21"/>
              </w:rPr>
              <w:t>污染物名称</w:t>
            </w:r>
          </w:p>
        </w:tc>
        <w:tc>
          <w:tcPr>
            <w:tcW w:w="2108" w:type="dxa"/>
            <w:vAlign w:val="center"/>
          </w:tcPr>
          <w:p>
            <w:pPr>
              <w:jc w:val="center"/>
              <w:rPr>
                <w:b/>
                <w:szCs w:val="21"/>
              </w:rPr>
            </w:pPr>
            <w:r>
              <w:rPr>
                <w:b/>
                <w:szCs w:val="21"/>
              </w:rPr>
              <w:t>排放量(t/a)</w:t>
            </w:r>
          </w:p>
        </w:tc>
        <w:tc>
          <w:tcPr>
            <w:tcW w:w="2114" w:type="dxa"/>
            <w:vAlign w:val="center"/>
          </w:tcPr>
          <w:p>
            <w:pPr>
              <w:jc w:val="center"/>
              <w:rPr>
                <w:b/>
                <w:szCs w:val="21"/>
              </w:rPr>
            </w:pPr>
            <w:r>
              <w:rPr>
                <w:b/>
                <w:szCs w:val="21"/>
              </w:rPr>
              <w:t>最大排放速率(kg/h)</w:t>
            </w:r>
          </w:p>
        </w:tc>
        <w:tc>
          <w:tcPr>
            <w:tcW w:w="2103" w:type="dxa"/>
            <w:vAlign w:val="center"/>
          </w:tcPr>
          <w:p>
            <w:pPr>
              <w:jc w:val="center"/>
              <w:rPr>
                <w:b/>
                <w:szCs w:val="21"/>
              </w:rPr>
            </w:pPr>
            <w:r>
              <w:rPr>
                <w:b/>
                <w:szCs w:val="21"/>
              </w:rPr>
              <w:t>面源高度(m)</w:t>
            </w:r>
          </w:p>
        </w:tc>
        <w:tc>
          <w:tcPr>
            <w:tcW w:w="2103" w:type="dxa"/>
            <w:vAlign w:val="center"/>
          </w:tcPr>
          <w:p>
            <w:pPr>
              <w:jc w:val="center"/>
              <w:rPr>
                <w:b/>
                <w:szCs w:val="21"/>
              </w:rPr>
            </w:pPr>
            <w:r>
              <w:rPr>
                <w:b/>
                <w:szCs w:val="21"/>
              </w:rPr>
              <w:t>面源宽度(m)</w:t>
            </w:r>
          </w:p>
        </w:tc>
        <w:tc>
          <w:tcPr>
            <w:tcW w:w="2103" w:type="dxa"/>
            <w:vAlign w:val="center"/>
          </w:tcPr>
          <w:p>
            <w:pPr>
              <w:jc w:val="center"/>
              <w:rPr>
                <w:b/>
                <w:szCs w:val="21"/>
              </w:rPr>
            </w:pPr>
            <w:r>
              <w:rPr>
                <w:b/>
                <w:szCs w:val="21"/>
              </w:rPr>
              <w:t>面源长度(m)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3" w:type="dxa"/>
            <w:vMerge w:val="restart"/>
            <w:tcBorders>
              <w:top w:val="single" w:color="auto" w:sz="4" w:space="0"/>
            </w:tcBorders>
            <w:vAlign w:val="center"/>
          </w:tcPr>
          <w:p>
            <w:pPr>
              <w:jc w:val="center"/>
              <w:rPr>
                <w:szCs w:val="21"/>
              </w:rPr>
            </w:pPr>
            <w:r>
              <w:rPr>
                <w:rFonts w:hint="eastAsia"/>
                <w:szCs w:val="21"/>
              </w:rPr>
              <w:t>2#生产厂房1F</w:t>
            </w:r>
          </w:p>
        </w:tc>
        <w:tc>
          <w:tcPr>
            <w:tcW w:w="2106" w:type="dxa"/>
            <w:vAlign w:val="center"/>
          </w:tcPr>
          <w:p>
            <w:pPr>
              <w:ind w:left="-212" w:leftChars="-101" w:right="-145" w:rightChars="-69"/>
              <w:jc w:val="center"/>
              <w:rPr>
                <w:szCs w:val="21"/>
              </w:rPr>
            </w:pPr>
            <w:r>
              <w:rPr>
                <w:rFonts w:hint="eastAsia"/>
                <w:szCs w:val="21"/>
              </w:rPr>
              <w:t>颗粒物</w:t>
            </w:r>
          </w:p>
        </w:tc>
        <w:tc>
          <w:tcPr>
            <w:tcW w:w="2108" w:type="dxa"/>
            <w:vAlign w:val="center"/>
          </w:tcPr>
          <w:p>
            <w:pPr>
              <w:widowControl/>
              <w:jc w:val="center"/>
              <w:rPr>
                <w:kern w:val="0"/>
                <w:szCs w:val="21"/>
              </w:rPr>
            </w:pPr>
            <w:r>
              <w:rPr>
                <w:rFonts w:hint="eastAsia"/>
                <w:kern w:val="0"/>
                <w:szCs w:val="21"/>
              </w:rPr>
              <w:t>0.113</w:t>
            </w:r>
          </w:p>
        </w:tc>
        <w:tc>
          <w:tcPr>
            <w:tcW w:w="2114" w:type="dxa"/>
            <w:vAlign w:val="center"/>
          </w:tcPr>
          <w:p>
            <w:pPr>
              <w:spacing w:line="200" w:lineRule="atLeast"/>
              <w:jc w:val="center"/>
              <w:rPr>
                <w:szCs w:val="21"/>
              </w:rPr>
            </w:pPr>
            <w:r>
              <w:rPr>
                <w:rFonts w:hint="eastAsia"/>
                <w:szCs w:val="21"/>
              </w:rPr>
              <w:t>0.188</w:t>
            </w:r>
          </w:p>
        </w:tc>
        <w:tc>
          <w:tcPr>
            <w:tcW w:w="2103" w:type="dxa"/>
            <w:tcBorders>
              <w:top w:val="single" w:color="auto" w:sz="4" w:space="0"/>
              <w:bottom w:val="single" w:color="auto" w:sz="4" w:space="0"/>
            </w:tcBorders>
            <w:vAlign w:val="center"/>
          </w:tcPr>
          <w:p>
            <w:pPr>
              <w:spacing w:line="220" w:lineRule="atLeast"/>
              <w:jc w:val="center"/>
              <w:rPr>
                <w:szCs w:val="21"/>
              </w:rPr>
            </w:pPr>
            <w:r>
              <w:rPr>
                <w:rFonts w:hint="eastAsia"/>
                <w:szCs w:val="21"/>
              </w:rPr>
              <w:t>7</w:t>
            </w:r>
          </w:p>
        </w:tc>
        <w:tc>
          <w:tcPr>
            <w:tcW w:w="2103" w:type="dxa"/>
            <w:tcBorders>
              <w:top w:val="single" w:color="auto" w:sz="4" w:space="0"/>
              <w:bottom w:val="single" w:color="auto" w:sz="4" w:space="0"/>
            </w:tcBorders>
            <w:vAlign w:val="center"/>
          </w:tcPr>
          <w:p>
            <w:pPr>
              <w:spacing w:line="220" w:lineRule="atLeast"/>
              <w:jc w:val="center"/>
              <w:rPr>
                <w:szCs w:val="21"/>
              </w:rPr>
            </w:pPr>
            <w:r>
              <w:rPr>
                <w:rFonts w:hint="eastAsia"/>
                <w:szCs w:val="21"/>
              </w:rPr>
              <w:t>57</w:t>
            </w:r>
          </w:p>
        </w:tc>
        <w:tc>
          <w:tcPr>
            <w:tcW w:w="2103" w:type="dxa"/>
            <w:tcBorders>
              <w:top w:val="single" w:color="auto" w:sz="4" w:space="0"/>
              <w:bottom w:val="single" w:color="auto" w:sz="4" w:space="0"/>
            </w:tcBorders>
            <w:vAlign w:val="center"/>
          </w:tcPr>
          <w:p>
            <w:pPr>
              <w:spacing w:line="220" w:lineRule="atLeast"/>
              <w:jc w:val="center"/>
              <w:rPr>
                <w:szCs w:val="21"/>
              </w:rPr>
            </w:pPr>
            <w:r>
              <w:rPr>
                <w:rFonts w:hint="eastAsia"/>
                <w:szCs w:val="21"/>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103" w:type="dxa"/>
            <w:vMerge w:val="continue"/>
            <w:tcBorders>
              <w:bottom w:val="single" w:color="auto" w:sz="4" w:space="0"/>
            </w:tcBorders>
            <w:vAlign w:val="center"/>
          </w:tcPr>
          <w:p>
            <w:pPr>
              <w:jc w:val="center"/>
              <w:rPr>
                <w:szCs w:val="21"/>
              </w:rPr>
            </w:pPr>
          </w:p>
        </w:tc>
        <w:tc>
          <w:tcPr>
            <w:tcW w:w="2106" w:type="dxa"/>
            <w:vAlign w:val="center"/>
          </w:tcPr>
          <w:p>
            <w:pPr>
              <w:ind w:left="-212" w:leftChars="-101" w:right="-145" w:rightChars="-69"/>
              <w:jc w:val="center"/>
              <w:rPr>
                <w:szCs w:val="21"/>
              </w:rPr>
            </w:pPr>
            <w:r>
              <w:rPr>
                <w:rFonts w:hint="eastAsia"/>
                <w:szCs w:val="21"/>
              </w:rPr>
              <w:t>非甲烷总烃</w:t>
            </w:r>
          </w:p>
        </w:tc>
        <w:tc>
          <w:tcPr>
            <w:tcW w:w="2108" w:type="dxa"/>
            <w:vAlign w:val="center"/>
          </w:tcPr>
          <w:p>
            <w:pPr>
              <w:widowControl/>
              <w:jc w:val="center"/>
              <w:rPr>
                <w:kern w:val="0"/>
                <w:szCs w:val="21"/>
              </w:rPr>
            </w:pPr>
            <w:r>
              <w:rPr>
                <w:rFonts w:hint="eastAsia"/>
                <w:kern w:val="0"/>
                <w:szCs w:val="21"/>
              </w:rPr>
              <w:t>0.137</w:t>
            </w:r>
          </w:p>
        </w:tc>
        <w:tc>
          <w:tcPr>
            <w:tcW w:w="2114" w:type="dxa"/>
            <w:vAlign w:val="center"/>
          </w:tcPr>
          <w:p>
            <w:pPr>
              <w:spacing w:line="200" w:lineRule="atLeast"/>
              <w:jc w:val="center"/>
              <w:rPr>
                <w:szCs w:val="21"/>
              </w:rPr>
            </w:pPr>
            <w:r>
              <w:rPr>
                <w:rFonts w:hint="eastAsia"/>
                <w:szCs w:val="21"/>
              </w:rPr>
              <w:t>0.046</w:t>
            </w:r>
          </w:p>
        </w:tc>
        <w:tc>
          <w:tcPr>
            <w:tcW w:w="2103" w:type="dxa"/>
            <w:tcBorders>
              <w:top w:val="single" w:color="auto" w:sz="4" w:space="0"/>
            </w:tcBorders>
            <w:vAlign w:val="center"/>
          </w:tcPr>
          <w:p>
            <w:pPr>
              <w:spacing w:line="220" w:lineRule="atLeast"/>
              <w:jc w:val="center"/>
              <w:rPr>
                <w:szCs w:val="21"/>
              </w:rPr>
            </w:pPr>
            <w:r>
              <w:rPr>
                <w:rFonts w:hint="eastAsia"/>
                <w:szCs w:val="21"/>
              </w:rPr>
              <w:t>7</w:t>
            </w:r>
          </w:p>
        </w:tc>
        <w:tc>
          <w:tcPr>
            <w:tcW w:w="2103" w:type="dxa"/>
            <w:tcBorders>
              <w:top w:val="single" w:color="auto" w:sz="4" w:space="0"/>
            </w:tcBorders>
            <w:vAlign w:val="center"/>
          </w:tcPr>
          <w:p>
            <w:pPr>
              <w:spacing w:line="220" w:lineRule="atLeast"/>
              <w:jc w:val="center"/>
              <w:rPr>
                <w:szCs w:val="21"/>
              </w:rPr>
            </w:pPr>
            <w:r>
              <w:rPr>
                <w:rFonts w:hint="eastAsia"/>
                <w:szCs w:val="21"/>
              </w:rPr>
              <w:t>57</w:t>
            </w:r>
          </w:p>
        </w:tc>
        <w:tc>
          <w:tcPr>
            <w:tcW w:w="2103" w:type="dxa"/>
            <w:tcBorders>
              <w:top w:val="single" w:color="auto" w:sz="4" w:space="0"/>
            </w:tcBorders>
            <w:vAlign w:val="center"/>
          </w:tcPr>
          <w:p>
            <w:pPr>
              <w:spacing w:line="220" w:lineRule="atLeast"/>
              <w:jc w:val="center"/>
              <w:rPr>
                <w:szCs w:val="21"/>
              </w:rPr>
            </w:pPr>
            <w:r>
              <w:rPr>
                <w:rFonts w:hint="eastAsia"/>
                <w:szCs w:val="21"/>
              </w:rPr>
              <w:t>127</w:t>
            </w:r>
          </w:p>
        </w:tc>
      </w:tr>
    </w:tbl>
    <w:p>
      <w:pPr>
        <w:pStyle w:val="2"/>
        <w:sectPr>
          <w:pgSz w:w="16840" w:h="11907" w:orient="landscape"/>
          <w:pgMar w:top="1531" w:right="1701" w:bottom="1531" w:left="2127" w:header="851" w:footer="851" w:gutter="0"/>
          <w:cols w:space="720" w:num="1"/>
          <w:docGrid w:linePitch="312" w:charSpace="0"/>
        </w:sectPr>
      </w:pPr>
    </w:p>
    <w:p/>
    <w:tbl>
      <w:tblPr>
        <w:tblStyle w:val="22"/>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1"/>
        <w:gridCol w:w="84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89" w:hRule="atLeast"/>
          <w:jc w:val="center"/>
        </w:trPr>
        <w:tc>
          <w:tcPr>
            <w:tcW w:w="461" w:type="dxa"/>
            <w:tcMar>
              <w:left w:w="28" w:type="dxa"/>
              <w:right w:w="28" w:type="dxa"/>
            </w:tcMar>
            <w:vAlign w:val="center"/>
          </w:tcPr>
          <w:p>
            <w:pPr>
              <w:adjustRightInd w:val="0"/>
              <w:snapToGrid w:val="0"/>
              <w:jc w:val="center"/>
              <w:rPr>
                <w:rFonts w:ascii="宋体" w:hAnsi="宋体" w:cs="宋体"/>
                <w:bCs/>
                <w:sz w:val="28"/>
                <w:szCs w:val="28"/>
              </w:rPr>
            </w:pPr>
            <w:r>
              <w:rPr>
                <w:rFonts w:hint="eastAsia" w:ascii="宋体" w:hAnsi="宋体" w:cs="宋体"/>
                <w:bCs/>
                <w:sz w:val="28"/>
                <w:szCs w:val="28"/>
              </w:rPr>
              <w:t>运营</w:t>
            </w:r>
          </w:p>
          <w:p>
            <w:pPr>
              <w:adjustRightInd w:val="0"/>
              <w:snapToGrid w:val="0"/>
              <w:jc w:val="center"/>
              <w:rPr>
                <w:rFonts w:ascii="宋体" w:hAnsi="宋体" w:cs="宋体"/>
                <w:bCs/>
                <w:sz w:val="28"/>
                <w:szCs w:val="28"/>
              </w:rPr>
            </w:pPr>
            <w:r>
              <w:rPr>
                <w:rFonts w:hint="eastAsia" w:ascii="宋体" w:hAnsi="宋体" w:cs="宋体"/>
                <w:bCs/>
                <w:sz w:val="28"/>
                <w:szCs w:val="28"/>
              </w:rPr>
              <w:t>期环</w:t>
            </w:r>
          </w:p>
          <w:p>
            <w:pPr>
              <w:adjustRightInd w:val="0"/>
              <w:snapToGrid w:val="0"/>
              <w:jc w:val="center"/>
              <w:rPr>
                <w:rFonts w:ascii="宋体" w:hAnsi="宋体" w:cs="宋体"/>
                <w:bCs/>
                <w:sz w:val="28"/>
                <w:szCs w:val="28"/>
              </w:rPr>
            </w:pPr>
            <w:r>
              <w:rPr>
                <w:rFonts w:hint="eastAsia" w:ascii="宋体" w:hAnsi="宋体" w:cs="宋体"/>
                <w:bCs/>
                <w:sz w:val="28"/>
                <w:szCs w:val="28"/>
              </w:rPr>
              <w:t>境影</w:t>
            </w:r>
          </w:p>
          <w:p>
            <w:pPr>
              <w:adjustRightInd w:val="0"/>
              <w:snapToGrid w:val="0"/>
              <w:jc w:val="center"/>
              <w:rPr>
                <w:rFonts w:ascii="宋体" w:hAnsi="宋体" w:cs="宋体"/>
                <w:bCs/>
                <w:sz w:val="28"/>
                <w:szCs w:val="28"/>
              </w:rPr>
            </w:pPr>
            <w:r>
              <w:rPr>
                <w:rFonts w:hint="eastAsia" w:ascii="宋体" w:hAnsi="宋体" w:cs="宋体"/>
                <w:bCs/>
                <w:sz w:val="28"/>
                <w:szCs w:val="28"/>
              </w:rPr>
              <w:t>响和</w:t>
            </w:r>
          </w:p>
          <w:p>
            <w:pPr>
              <w:adjustRightInd w:val="0"/>
              <w:snapToGrid w:val="0"/>
              <w:jc w:val="center"/>
              <w:rPr>
                <w:rFonts w:ascii="宋体" w:hAnsi="宋体" w:cs="宋体"/>
                <w:bCs/>
                <w:sz w:val="28"/>
                <w:szCs w:val="28"/>
              </w:rPr>
            </w:pPr>
            <w:r>
              <w:rPr>
                <w:rFonts w:hint="eastAsia" w:ascii="宋体" w:hAnsi="宋体" w:cs="宋体"/>
                <w:bCs/>
                <w:sz w:val="28"/>
                <w:szCs w:val="28"/>
              </w:rPr>
              <w:t>保护</w:t>
            </w:r>
          </w:p>
          <w:p>
            <w:pPr>
              <w:adjustRightInd w:val="0"/>
              <w:snapToGrid w:val="0"/>
              <w:jc w:val="center"/>
              <w:rPr>
                <w:rFonts w:ascii="宋体" w:hAnsi="宋体" w:cs="宋体"/>
                <w:bCs/>
                <w:sz w:val="28"/>
                <w:szCs w:val="28"/>
              </w:rPr>
            </w:pPr>
            <w:r>
              <w:rPr>
                <w:rFonts w:hint="eastAsia" w:ascii="宋体" w:hAnsi="宋体" w:cs="宋体"/>
                <w:bCs/>
                <w:sz w:val="28"/>
                <w:szCs w:val="28"/>
              </w:rPr>
              <w:t>措施</w:t>
            </w:r>
          </w:p>
        </w:tc>
        <w:tc>
          <w:tcPr>
            <w:tcW w:w="8447" w:type="dxa"/>
            <w:vAlign w:val="center"/>
          </w:tcPr>
          <w:p>
            <w:pPr>
              <w:adjustRightInd w:val="0"/>
              <w:snapToGrid w:val="0"/>
              <w:spacing w:line="360" w:lineRule="auto"/>
              <w:ind w:firstLine="482" w:firstLineChars="200"/>
              <w:rPr>
                <w:b/>
                <w:bCs/>
                <w:sz w:val="24"/>
              </w:rPr>
            </w:pPr>
            <w:r>
              <w:rPr>
                <w:rFonts w:hint="eastAsia"/>
                <w:b/>
                <w:bCs/>
                <w:sz w:val="24"/>
              </w:rPr>
              <w:t>2、废气排放情况一览表</w:t>
            </w:r>
          </w:p>
          <w:p>
            <w:pPr>
              <w:adjustRightInd w:val="0"/>
              <w:snapToGrid w:val="0"/>
              <w:spacing w:line="360" w:lineRule="auto"/>
              <w:ind w:firstLine="482" w:firstLineChars="200"/>
              <w:jc w:val="center"/>
              <w:rPr>
                <w:b/>
                <w:bCs/>
                <w:sz w:val="24"/>
              </w:rPr>
            </w:pPr>
            <w:r>
              <w:rPr>
                <w:rFonts w:hint="eastAsia"/>
                <w:b/>
                <w:bCs/>
                <w:sz w:val="24"/>
              </w:rPr>
              <w:t>表4-3  废气排放情况一览表</w:t>
            </w:r>
          </w:p>
          <w:tbl>
            <w:tblPr>
              <w:tblStyle w:val="23"/>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38"/>
              <w:gridCol w:w="675"/>
              <w:gridCol w:w="612"/>
              <w:gridCol w:w="813"/>
              <w:gridCol w:w="712"/>
              <w:gridCol w:w="913"/>
              <w:gridCol w:w="875"/>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77" w:type="dxa"/>
                  <w:gridSpan w:val="6"/>
                  <w:vAlign w:val="center"/>
                </w:tcPr>
                <w:p>
                  <w:pPr>
                    <w:adjustRightInd w:val="0"/>
                    <w:snapToGrid w:val="0"/>
                    <w:jc w:val="center"/>
                    <w:rPr>
                      <w:b/>
                      <w:bCs/>
                    </w:rPr>
                  </w:pPr>
                  <w:r>
                    <w:rPr>
                      <w:rFonts w:hint="eastAsia"/>
                      <w:b/>
                      <w:bCs/>
                    </w:rPr>
                    <w:t>排放口基本情况</w:t>
                  </w:r>
                </w:p>
              </w:tc>
              <w:tc>
                <w:tcPr>
                  <w:tcW w:w="1788" w:type="dxa"/>
                  <w:gridSpan w:val="2"/>
                  <w:vAlign w:val="center"/>
                </w:tcPr>
                <w:p>
                  <w:pPr>
                    <w:adjustRightInd w:val="0"/>
                    <w:snapToGrid w:val="0"/>
                    <w:jc w:val="center"/>
                    <w:rPr>
                      <w:b/>
                      <w:bCs/>
                    </w:rPr>
                  </w:pPr>
                  <w:r>
                    <w:rPr>
                      <w:b/>
                      <w:bCs/>
                    </w:rPr>
                    <w:t>坐标(°)</w:t>
                  </w:r>
                </w:p>
              </w:tc>
              <w:tc>
                <w:tcPr>
                  <w:tcW w:w="2172" w:type="dxa"/>
                  <w:vMerge w:val="restart"/>
                  <w:vAlign w:val="center"/>
                </w:tcPr>
                <w:p>
                  <w:pPr>
                    <w:adjustRightInd w:val="0"/>
                    <w:snapToGrid w:val="0"/>
                    <w:jc w:val="center"/>
                    <w:rPr>
                      <w:b/>
                      <w:bCs/>
                    </w:rPr>
                  </w:pPr>
                  <w:r>
                    <w:rPr>
                      <w:rFonts w:hint="eastAsia"/>
                      <w:b/>
                      <w:bCs/>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7" w:type="dxa"/>
                  <w:vAlign w:val="center"/>
                </w:tcPr>
                <w:p>
                  <w:pPr>
                    <w:adjustRightInd w:val="0"/>
                    <w:snapToGrid w:val="0"/>
                    <w:jc w:val="center"/>
                    <w:rPr>
                      <w:b/>
                      <w:bCs/>
                    </w:rPr>
                  </w:pPr>
                  <w:r>
                    <w:rPr>
                      <w:rFonts w:hint="eastAsia"/>
                      <w:b/>
                      <w:bCs/>
                    </w:rPr>
                    <w:t>高度</w:t>
                  </w:r>
                </w:p>
              </w:tc>
              <w:tc>
                <w:tcPr>
                  <w:tcW w:w="738" w:type="dxa"/>
                  <w:vAlign w:val="center"/>
                </w:tcPr>
                <w:p>
                  <w:pPr>
                    <w:adjustRightInd w:val="0"/>
                    <w:snapToGrid w:val="0"/>
                    <w:jc w:val="center"/>
                    <w:rPr>
                      <w:b/>
                      <w:bCs/>
                    </w:rPr>
                  </w:pPr>
                  <w:r>
                    <w:rPr>
                      <w:rFonts w:hint="eastAsia"/>
                      <w:b/>
                      <w:bCs/>
                    </w:rPr>
                    <w:t>排气筒内径</w:t>
                  </w:r>
                </w:p>
              </w:tc>
              <w:tc>
                <w:tcPr>
                  <w:tcW w:w="675" w:type="dxa"/>
                  <w:vAlign w:val="center"/>
                </w:tcPr>
                <w:p>
                  <w:pPr>
                    <w:adjustRightInd w:val="0"/>
                    <w:snapToGrid w:val="0"/>
                    <w:jc w:val="center"/>
                    <w:rPr>
                      <w:b/>
                      <w:bCs/>
                    </w:rPr>
                  </w:pPr>
                  <w:r>
                    <w:rPr>
                      <w:rFonts w:hint="eastAsia"/>
                      <w:b/>
                      <w:bCs/>
                    </w:rPr>
                    <w:t>温度</w:t>
                  </w:r>
                </w:p>
              </w:tc>
              <w:tc>
                <w:tcPr>
                  <w:tcW w:w="612" w:type="dxa"/>
                  <w:vAlign w:val="center"/>
                </w:tcPr>
                <w:p>
                  <w:pPr>
                    <w:adjustRightInd w:val="0"/>
                    <w:snapToGrid w:val="0"/>
                    <w:jc w:val="center"/>
                    <w:rPr>
                      <w:b/>
                      <w:bCs/>
                    </w:rPr>
                  </w:pPr>
                  <w:r>
                    <w:rPr>
                      <w:rFonts w:hint="eastAsia"/>
                      <w:b/>
                      <w:bCs/>
                    </w:rPr>
                    <w:t>编号</w:t>
                  </w:r>
                </w:p>
              </w:tc>
              <w:tc>
                <w:tcPr>
                  <w:tcW w:w="813" w:type="dxa"/>
                  <w:vAlign w:val="center"/>
                </w:tcPr>
                <w:p>
                  <w:pPr>
                    <w:adjustRightInd w:val="0"/>
                    <w:snapToGrid w:val="0"/>
                    <w:jc w:val="center"/>
                    <w:rPr>
                      <w:b/>
                      <w:bCs/>
                    </w:rPr>
                  </w:pPr>
                  <w:r>
                    <w:rPr>
                      <w:rFonts w:hint="eastAsia"/>
                      <w:b/>
                      <w:bCs/>
                    </w:rPr>
                    <w:t>名称</w:t>
                  </w:r>
                </w:p>
              </w:tc>
              <w:tc>
                <w:tcPr>
                  <w:tcW w:w="712" w:type="dxa"/>
                  <w:vAlign w:val="center"/>
                </w:tcPr>
                <w:p>
                  <w:pPr>
                    <w:adjustRightInd w:val="0"/>
                    <w:snapToGrid w:val="0"/>
                    <w:jc w:val="center"/>
                    <w:rPr>
                      <w:b/>
                      <w:bCs/>
                    </w:rPr>
                  </w:pPr>
                  <w:r>
                    <w:rPr>
                      <w:rFonts w:hint="eastAsia"/>
                      <w:b/>
                      <w:bCs/>
                    </w:rPr>
                    <w:t>类型</w:t>
                  </w:r>
                </w:p>
              </w:tc>
              <w:tc>
                <w:tcPr>
                  <w:tcW w:w="913" w:type="dxa"/>
                  <w:vAlign w:val="center"/>
                </w:tcPr>
                <w:p>
                  <w:pPr>
                    <w:adjustRightInd w:val="0"/>
                    <w:snapToGrid w:val="0"/>
                    <w:jc w:val="center"/>
                    <w:rPr>
                      <w:b/>
                      <w:bCs/>
                    </w:rPr>
                  </w:pPr>
                  <w:r>
                    <w:rPr>
                      <w:b/>
                      <w:bCs/>
                    </w:rPr>
                    <w:t>经度</w:t>
                  </w:r>
                </w:p>
              </w:tc>
              <w:tc>
                <w:tcPr>
                  <w:tcW w:w="875" w:type="dxa"/>
                  <w:vAlign w:val="center"/>
                </w:tcPr>
                <w:p>
                  <w:pPr>
                    <w:adjustRightInd w:val="0"/>
                    <w:snapToGrid w:val="0"/>
                    <w:jc w:val="center"/>
                    <w:rPr>
                      <w:b/>
                      <w:bCs/>
                    </w:rPr>
                  </w:pPr>
                  <w:r>
                    <w:rPr>
                      <w:b/>
                      <w:bCs/>
                    </w:rPr>
                    <w:t>纬度</w:t>
                  </w:r>
                </w:p>
              </w:tc>
              <w:tc>
                <w:tcPr>
                  <w:tcW w:w="2172" w:type="dxa"/>
                  <w:vMerge w:val="continue"/>
                  <w:vAlign w:val="center"/>
                </w:tcPr>
                <w:p>
                  <w:pPr>
                    <w:adjustRightInd w:val="0"/>
                    <w:snapToGrid w:val="0"/>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427" w:type="dxa"/>
                  <w:vAlign w:val="center"/>
                </w:tcPr>
                <w:p>
                  <w:pPr>
                    <w:adjustRightInd w:val="0"/>
                    <w:snapToGrid w:val="0"/>
                    <w:jc w:val="center"/>
                  </w:pPr>
                  <w:r>
                    <w:rPr>
                      <w:rFonts w:hint="eastAsia"/>
                    </w:rPr>
                    <w:t>15m</w:t>
                  </w:r>
                </w:p>
              </w:tc>
              <w:tc>
                <w:tcPr>
                  <w:tcW w:w="738" w:type="dxa"/>
                  <w:vAlign w:val="center"/>
                </w:tcPr>
                <w:p>
                  <w:pPr>
                    <w:adjustRightInd w:val="0"/>
                    <w:snapToGrid w:val="0"/>
                    <w:jc w:val="center"/>
                  </w:pPr>
                  <w:r>
                    <w:rPr>
                      <w:rFonts w:hint="eastAsia"/>
                    </w:rPr>
                    <w:t>0.5m</w:t>
                  </w:r>
                </w:p>
              </w:tc>
              <w:tc>
                <w:tcPr>
                  <w:tcW w:w="675" w:type="dxa"/>
                  <w:vAlign w:val="center"/>
                </w:tcPr>
                <w:p>
                  <w:pPr>
                    <w:adjustRightInd w:val="0"/>
                    <w:snapToGrid w:val="0"/>
                    <w:jc w:val="center"/>
                  </w:pPr>
                  <w:r>
                    <w:rPr>
                      <w:rFonts w:hint="eastAsia"/>
                    </w:rPr>
                    <w:t>25</w:t>
                  </w:r>
                  <w:r>
                    <w:rPr>
                      <w:rFonts w:hint="eastAsia" w:ascii="宋体" w:hAnsi="宋体" w:cs="宋体"/>
                    </w:rPr>
                    <w:t>℃</w:t>
                  </w:r>
                </w:p>
              </w:tc>
              <w:tc>
                <w:tcPr>
                  <w:tcW w:w="612" w:type="dxa"/>
                  <w:vAlign w:val="center"/>
                </w:tcPr>
                <w:p>
                  <w:pPr>
                    <w:adjustRightInd w:val="0"/>
                    <w:snapToGrid w:val="0"/>
                    <w:jc w:val="center"/>
                  </w:pPr>
                  <w:r>
                    <w:rPr>
                      <w:rFonts w:hint="eastAsia"/>
                    </w:rPr>
                    <w:t>DA002</w:t>
                  </w:r>
                </w:p>
              </w:tc>
              <w:tc>
                <w:tcPr>
                  <w:tcW w:w="813" w:type="dxa"/>
                  <w:vAlign w:val="center"/>
                </w:tcPr>
                <w:p>
                  <w:pPr>
                    <w:adjustRightInd w:val="0"/>
                    <w:snapToGrid w:val="0"/>
                    <w:jc w:val="center"/>
                  </w:pPr>
                  <w:r>
                    <w:rPr>
                      <w:rFonts w:hint="eastAsia"/>
                    </w:rPr>
                    <w:t>注塑、吸塑、吹塑排放口</w:t>
                  </w:r>
                </w:p>
              </w:tc>
              <w:tc>
                <w:tcPr>
                  <w:tcW w:w="712" w:type="dxa"/>
                  <w:vAlign w:val="center"/>
                </w:tcPr>
                <w:p>
                  <w:pPr>
                    <w:adjustRightInd w:val="0"/>
                    <w:snapToGrid w:val="0"/>
                    <w:jc w:val="center"/>
                  </w:pPr>
                  <w:r>
                    <w:rPr>
                      <w:rFonts w:hint="eastAsia"/>
                    </w:rPr>
                    <w:t>有组织排放</w:t>
                  </w:r>
                </w:p>
              </w:tc>
              <w:tc>
                <w:tcPr>
                  <w:tcW w:w="913" w:type="dxa"/>
                  <w:vAlign w:val="center"/>
                </w:tcPr>
                <w:p>
                  <w:pPr>
                    <w:jc w:val="center"/>
                    <w:rPr>
                      <w:szCs w:val="21"/>
                    </w:rPr>
                  </w:pPr>
                  <w:r>
                    <w:rPr>
                      <w:rFonts w:hint="eastAsia"/>
                      <w:szCs w:val="21"/>
                    </w:rPr>
                    <w:t xml:space="preserve"> 118.394584</w:t>
                  </w:r>
                </w:p>
              </w:tc>
              <w:tc>
                <w:tcPr>
                  <w:tcW w:w="875" w:type="dxa"/>
                  <w:vAlign w:val="center"/>
                </w:tcPr>
                <w:p>
                  <w:pPr>
                    <w:jc w:val="center"/>
                    <w:rPr>
                      <w:szCs w:val="21"/>
                    </w:rPr>
                  </w:pPr>
                  <w:r>
                    <w:rPr>
                      <w:rFonts w:hint="eastAsia"/>
                      <w:szCs w:val="21"/>
                    </w:rPr>
                    <w:t xml:space="preserve"> 32.295724</w:t>
                  </w:r>
                </w:p>
              </w:tc>
              <w:tc>
                <w:tcPr>
                  <w:tcW w:w="2172" w:type="dxa"/>
                  <w:vMerge w:val="restart"/>
                  <w:vAlign w:val="center"/>
                </w:tcPr>
                <w:p>
                  <w:pPr>
                    <w:adjustRightInd w:val="0"/>
                    <w:snapToGrid w:val="0"/>
                    <w:jc w:val="center"/>
                  </w:pPr>
                  <w:r>
                    <w:t>《合成树脂工业污染物排</w:t>
                  </w:r>
                </w:p>
                <w:p>
                  <w:pPr>
                    <w:adjustRightInd w:val="0"/>
                    <w:snapToGrid w:val="0"/>
                    <w:jc w:val="center"/>
                  </w:pPr>
                  <w:r>
                    <w:t>放标准》（GB31572-2015）</w:t>
                  </w:r>
                </w:p>
                <w:p>
                  <w:pPr>
                    <w:adjustRightInd w:val="0"/>
                    <w:snapToGrid w:val="0"/>
                    <w:jc w:val="center"/>
                  </w:pPr>
                  <w:r>
                    <w:t>中表 5 和表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427" w:type="dxa"/>
                  <w:vAlign w:val="center"/>
                </w:tcPr>
                <w:p>
                  <w:pPr>
                    <w:adjustRightInd w:val="0"/>
                    <w:snapToGrid w:val="0"/>
                    <w:jc w:val="center"/>
                  </w:pPr>
                  <w:r>
                    <w:rPr>
                      <w:rFonts w:hint="eastAsia"/>
                    </w:rPr>
                    <w:t>15m</w:t>
                  </w:r>
                </w:p>
              </w:tc>
              <w:tc>
                <w:tcPr>
                  <w:tcW w:w="738" w:type="dxa"/>
                  <w:vAlign w:val="center"/>
                </w:tcPr>
                <w:p>
                  <w:pPr>
                    <w:adjustRightInd w:val="0"/>
                    <w:snapToGrid w:val="0"/>
                    <w:jc w:val="center"/>
                  </w:pPr>
                  <w:r>
                    <w:rPr>
                      <w:rFonts w:hint="eastAsia"/>
                    </w:rPr>
                    <w:t>0.4m</w:t>
                  </w:r>
                </w:p>
              </w:tc>
              <w:tc>
                <w:tcPr>
                  <w:tcW w:w="675" w:type="dxa"/>
                  <w:vAlign w:val="center"/>
                </w:tcPr>
                <w:p>
                  <w:pPr>
                    <w:adjustRightInd w:val="0"/>
                    <w:snapToGrid w:val="0"/>
                    <w:jc w:val="center"/>
                  </w:pPr>
                  <w:r>
                    <w:rPr>
                      <w:rFonts w:hint="eastAsia"/>
                    </w:rPr>
                    <w:t>25</w:t>
                  </w:r>
                  <w:r>
                    <w:rPr>
                      <w:rFonts w:hint="eastAsia" w:ascii="宋体" w:hAnsi="宋体" w:cs="宋体"/>
                    </w:rPr>
                    <w:t>℃</w:t>
                  </w:r>
                </w:p>
              </w:tc>
              <w:tc>
                <w:tcPr>
                  <w:tcW w:w="612" w:type="dxa"/>
                  <w:vAlign w:val="center"/>
                </w:tcPr>
                <w:p>
                  <w:pPr>
                    <w:adjustRightInd w:val="0"/>
                    <w:snapToGrid w:val="0"/>
                    <w:jc w:val="center"/>
                  </w:pPr>
                  <w:r>
                    <w:rPr>
                      <w:rFonts w:hint="eastAsia"/>
                    </w:rPr>
                    <w:t>DA003</w:t>
                  </w:r>
                </w:p>
              </w:tc>
              <w:tc>
                <w:tcPr>
                  <w:tcW w:w="813" w:type="dxa"/>
                  <w:vAlign w:val="center"/>
                </w:tcPr>
                <w:p>
                  <w:pPr>
                    <w:adjustRightInd w:val="0"/>
                    <w:snapToGrid w:val="0"/>
                    <w:jc w:val="center"/>
                  </w:pPr>
                  <w:r>
                    <w:rPr>
                      <w:rFonts w:hint="eastAsia"/>
                    </w:rPr>
                    <w:t>破碎粉尘排放口</w:t>
                  </w:r>
                </w:p>
              </w:tc>
              <w:tc>
                <w:tcPr>
                  <w:tcW w:w="712" w:type="dxa"/>
                  <w:vAlign w:val="center"/>
                </w:tcPr>
                <w:p>
                  <w:pPr>
                    <w:adjustRightInd w:val="0"/>
                    <w:snapToGrid w:val="0"/>
                    <w:jc w:val="center"/>
                  </w:pPr>
                  <w:r>
                    <w:rPr>
                      <w:rFonts w:hint="eastAsia"/>
                    </w:rPr>
                    <w:t>有组织排放</w:t>
                  </w:r>
                </w:p>
              </w:tc>
              <w:tc>
                <w:tcPr>
                  <w:tcW w:w="913" w:type="dxa"/>
                  <w:vAlign w:val="center"/>
                </w:tcPr>
                <w:p>
                  <w:pPr>
                    <w:jc w:val="center"/>
                    <w:rPr>
                      <w:szCs w:val="21"/>
                    </w:rPr>
                  </w:pPr>
                  <w:r>
                    <w:rPr>
                      <w:rFonts w:hint="eastAsia"/>
                      <w:szCs w:val="21"/>
                    </w:rPr>
                    <w:t>118.393801</w:t>
                  </w:r>
                </w:p>
              </w:tc>
              <w:tc>
                <w:tcPr>
                  <w:tcW w:w="875" w:type="dxa"/>
                  <w:vAlign w:val="center"/>
                </w:tcPr>
                <w:p>
                  <w:pPr>
                    <w:jc w:val="center"/>
                    <w:rPr>
                      <w:szCs w:val="21"/>
                    </w:rPr>
                  </w:pPr>
                  <w:r>
                    <w:rPr>
                      <w:rFonts w:hint="eastAsia"/>
                      <w:szCs w:val="21"/>
                    </w:rPr>
                    <w:t>32.295220</w:t>
                  </w:r>
                </w:p>
              </w:tc>
              <w:tc>
                <w:tcPr>
                  <w:tcW w:w="2172"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427" w:type="dxa"/>
                  <w:vAlign w:val="center"/>
                </w:tcPr>
                <w:p>
                  <w:pPr>
                    <w:adjustRightInd w:val="0"/>
                    <w:snapToGrid w:val="0"/>
                    <w:jc w:val="center"/>
                  </w:pPr>
                  <w:r>
                    <w:rPr>
                      <w:rFonts w:hint="eastAsia"/>
                    </w:rPr>
                    <w:t>15m</w:t>
                  </w:r>
                </w:p>
              </w:tc>
              <w:tc>
                <w:tcPr>
                  <w:tcW w:w="738" w:type="dxa"/>
                  <w:vAlign w:val="center"/>
                </w:tcPr>
                <w:p>
                  <w:pPr>
                    <w:adjustRightInd w:val="0"/>
                    <w:snapToGrid w:val="0"/>
                    <w:jc w:val="center"/>
                  </w:pPr>
                  <w:r>
                    <w:rPr>
                      <w:rFonts w:hint="eastAsia"/>
                    </w:rPr>
                    <w:t>0.3m</w:t>
                  </w:r>
                </w:p>
              </w:tc>
              <w:tc>
                <w:tcPr>
                  <w:tcW w:w="675" w:type="dxa"/>
                  <w:vAlign w:val="center"/>
                </w:tcPr>
                <w:p>
                  <w:pPr>
                    <w:adjustRightInd w:val="0"/>
                    <w:snapToGrid w:val="0"/>
                    <w:jc w:val="center"/>
                  </w:pPr>
                  <w:r>
                    <w:rPr>
                      <w:rFonts w:hint="eastAsia"/>
                    </w:rPr>
                    <w:t>30</w:t>
                  </w:r>
                  <w:r>
                    <w:rPr>
                      <w:rFonts w:hint="eastAsia" w:ascii="宋体" w:hAnsi="宋体" w:cs="宋体"/>
                    </w:rPr>
                    <w:t>℃</w:t>
                  </w:r>
                </w:p>
              </w:tc>
              <w:tc>
                <w:tcPr>
                  <w:tcW w:w="612" w:type="dxa"/>
                  <w:vAlign w:val="center"/>
                </w:tcPr>
                <w:p>
                  <w:pPr>
                    <w:adjustRightInd w:val="0"/>
                    <w:snapToGrid w:val="0"/>
                    <w:jc w:val="center"/>
                  </w:pPr>
                  <w:r>
                    <w:rPr>
                      <w:rFonts w:hint="eastAsia"/>
                    </w:rPr>
                    <w:t>DA004</w:t>
                  </w:r>
                </w:p>
              </w:tc>
              <w:tc>
                <w:tcPr>
                  <w:tcW w:w="813" w:type="dxa"/>
                  <w:vAlign w:val="center"/>
                </w:tcPr>
                <w:p>
                  <w:pPr>
                    <w:adjustRightInd w:val="0"/>
                    <w:snapToGrid w:val="0"/>
                    <w:jc w:val="center"/>
                  </w:pPr>
                  <w:r>
                    <w:rPr>
                      <w:rFonts w:hint="eastAsia"/>
                    </w:rPr>
                    <w:t>食堂油烟排放口</w:t>
                  </w:r>
                </w:p>
              </w:tc>
              <w:tc>
                <w:tcPr>
                  <w:tcW w:w="712" w:type="dxa"/>
                  <w:vAlign w:val="center"/>
                </w:tcPr>
                <w:p>
                  <w:pPr>
                    <w:adjustRightInd w:val="0"/>
                    <w:snapToGrid w:val="0"/>
                    <w:jc w:val="center"/>
                  </w:pPr>
                  <w:r>
                    <w:rPr>
                      <w:rFonts w:hint="eastAsia"/>
                    </w:rPr>
                    <w:t>有组织排放</w:t>
                  </w:r>
                </w:p>
              </w:tc>
              <w:tc>
                <w:tcPr>
                  <w:tcW w:w="913" w:type="dxa"/>
                  <w:vAlign w:val="center"/>
                </w:tcPr>
                <w:p>
                  <w:pPr>
                    <w:jc w:val="center"/>
                    <w:rPr>
                      <w:szCs w:val="21"/>
                    </w:rPr>
                  </w:pPr>
                  <w:r>
                    <w:rPr>
                      <w:rFonts w:hint="eastAsia"/>
                      <w:szCs w:val="21"/>
                    </w:rPr>
                    <w:t>118.391397</w:t>
                  </w:r>
                </w:p>
              </w:tc>
              <w:tc>
                <w:tcPr>
                  <w:tcW w:w="875" w:type="dxa"/>
                  <w:vAlign w:val="center"/>
                </w:tcPr>
                <w:p>
                  <w:pPr>
                    <w:jc w:val="center"/>
                    <w:rPr>
                      <w:szCs w:val="21"/>
                    </w:rPr>
                  </w:pPr>
                  <w:r>
                    <w:rPr>
                      <w:rFonts w:hint="eastAsia"/>
                      <w:szCs w:val="21"/>
                    </w:rPr>
                    <w:t>32.296046</w:t>
                  </w:r>
                </w:p>
              </w:tc>
              <w:tc>
                <w:tcPr>
                  <w:tcW w:w="2172" w:type="dxa"/>
                  <w:vAlign w:val="center"/>
                </w:tcPr>
                <w:p>
                  <w:pPr>
                    <w:adjustRightInd w:val="0"/>
                    <w:snapToGrid w:val="0"/>
                    <w:jc w:val="center"/>
                    <w:rPr>
                      <w:szCs w:val="21"/>
                    </w:rPr>
                  </w:pPr>
                  <w:r>
                    <w:rPr>
                      <w:rFonts w:hint="eastAsia"/>
                      <w:bCs/>
                      <w:szCs w:val="21"/>
                    </w:rPr>
                    <w:t>《饮食业油烟排放标准》（GB 18483-2001）</w:t>
                  </w:r>
                </w:p>
              </w:tc>
            </w:tr>
          </w:tbl>
          <w:p>
            <w:pPr>
              <w:adjustRightInd w:val="0"/>
              <w:snapToGrid w:val="0"/>
              <w:spacing w:before="120" w:beforeLines="50" w:line="360" w:lineRule="auto"/>
              <w:ind w:firstLine="482" w:firstLineChars="200"/>
              <w:rPr>
                <w:b/>
                <w:bCs/>
                <w:sz w:val="24"/>
              </w:rPr>
            </w:pPr>
            <w:r>
              <w:rPr>
                <w:rFonts w:hint="eastAsia"/>
                <w:b/>
                <w:bCs/>
                <w:sz w:val="24"/>
              </w:rPr>
              <w:t>3、废气监测计划一览表</w:t>
            </w:r>
          </w:p>
          <w:p>
            <w:pPr>
              <w:adjustRightInd w:val="0"/>
              <w:snapToGrid w:val="0"/>
              <w:spacing w:line="360" w:lineRule="auto"/>
              <w:ind w:firstLine="482" w:firstLineChars="200"/>
              <w:jc w:val="center"/>
              <w:rPr>
                <w:b/>
                <w:bCs/>
                <w:sz w:val="24"/>
              </w:rPr>
            </w:pPr>
            <w:r>
              <w:rPr>
                <w:rFonts w:hint="eastAsia"/>
                <w:b/>
                <w:bCs/>
                <w:sz w:val="24"/>
              </w:rPr>
              <w:t>表4-4 废气监测计划一览表</w:t>
            </w:r>
          </w:p>
          <w:tbl>
            <w:tblPr>
              <w:tblStyle w:val="23"/>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900"/>
              <w:gridCol w:w="1388"/>
              <w:gridCol w:w="1362"/>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2" w:type="dxa"/>
                  <w:gridSpan w:val="2"/>
                  <w:vAlign w:val="center"/>
                </w:tcPr>
                <w:p>
                  <w:pPr>
                    <w:jc w:val="center"/>
                    <w:rPr>
                      <w:b/>
                      <w:bCs/>
                      <w:szCs w:val="21"/>
                    </w:rPr>
                  </w:pPr>
                  <w:r>
                    <w:rPr>
                      <w:rFonts w:hint="eastAsia"/>
                      <w:b/>
                      <w:bCs/>
                      <w:szCs w:val="21"/>
                    </w:rPr>
                    <w:t>监测点位</w:t>
                  </w:r>
                </w:p>
              </w:tc>
              <w:tc>
                <w:tcPr>
                  <w:tcW w:w="1388" w:type="dxa"/>
                  <w:vAlign w:val="center"/>
                </w:tcPr>
                <w:p>
                  <w:pPr>
                    <w:jc w:val="center"/>
                    <w:rPr>
                      <w:b/>
                      <w:bCs/>
                      <w:szCs w:val="21"/>
                    </w:rPr>
                  </w:pPr>
                  <w:r>
                    <w:rPr>
                      <w:rFonts w:hint="eastAsia"/>
                      <w:b/>
                      <w:bCs/>
                      <w:szCs w:val="21"/>
                    </w:rPr>
                    <w:t>监测因子</w:t>
                  </w:r>
                </w:p>
              </w:tc>
              <w:tc>
                <w:tcPr>
                  <w:tcW w:w="1362" w:type="dxa"/>
                  <w:vAlign w:val="center"/>
                </w:tcPr>
                <w:p>
                  <w:pPr>
                    <w:jc w:val="center"/>
                    <w:rPr>
                      <w:b/>
                      <w:bCs/>
                      <w:szCs w:val="21"/>
                    </w:rPr>
                  </w:pPr>
                  <w:r>
                    <w:rPr>
                      <w:rFonts w:hint="eastAsia"/>
                      <w:b/>
                      <w:bCs/>
                      <w:szCs w:val="21"/>
                    </w:rPr>
                    <w:t>监测频次</w:t>
                  </w:r>
                </w:p>
              </w:tc>
              <w:tc>
                <w:tcPr>
                  <w:tcW w:w="3185" w:type="dxa"/>
                  <w:vAlign w:val="center"/>
                </w:tcPr>
                <w:p>
                  <w:pPr>
                    <w:jc w:val="center"/>
                    <w:rPr>
                      <w:b/>
                      <w:bCs/>
                      <w:szCs w:val="21"/>
                    </w:rPr>
                  </w:pPr>
                  <w:r>
                    <w:rPr>
                      <w:rFonts w:hint="eastAsia"/>
                      <w:b/>
                      <w:bCs/>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02" w:type="dxa"/>
                  <w:vAlign w:val="center"/>
                </w:tcPr>
                <w:p>
                  <w:pPr>
                    <w:adjustRightInd w:val="0"/>
                    <w:snapToGrid w:val="0"/>
                    <w:jc w:val="center"/>
                    <w:rPr>
                      <w:szCs w:val="21"/>
                    </w:rPr>
                  </w:pPr>
                  <w:r>
                    <w:rPr>
                      <w:rFonts w:hint="eastAsia"/>
                    </w:rPr>
                    <w:t>注塑、吸塑、吹塑排放口</w:t>
                  </w:r>
                </w:p>
              </w:tc>
              <w:tc>
                <w:tcPr>
                  <w:tcW w:w="900" w:type="dxa"/>
                  <w:vAlign w:val="center"/>
                </w:tcPr>
                <w:p>
                  <w:pPr>
                    <w:widowControl/>
                    <w:jc w:val="center"/>
                    <w:rPr>
                      <w:szCs w:val="21"/>
                    </w:rPr>
                  </w:pPr>
                  <w:r>
                    <w:rPr>
                      <w:color w:val="000000"/>
                      <w:kern w:val="0"/>
                      <w:szCs w:val="21"/>
                    </w:rPr>
                    <w:t>DA00</w:t>
                  </w:r>
                  <w:r>
                    <w:rPr>
                      <w:rFonts w:hint="eastAsia"/>
                      <w:color w:val="000000"/>
                      <w:kern w:val="0"/>
                      <w:szCs w:val="21"/>
                    </w:rPr>
                    <w:t>2</w:t>
                  </w:r>
                </w:p>
              </w:tc>
              <w:tc>
                <w:tcPr>
                  <w:tcW w:w="1388" w:type="dxa"/>
                  <w:vAlign w:val="center"/>
                </w:tcPr>
                <w:p>
                  <w:pPr>
                    <w:jc w:val="center"/>
                    <w:rPr>
                      <w:szCs w:val="21"/>
                    </w:rPr>
                  </w:pPr>
                  <w:r>
                    <w:rPr>
                      <w:rFonts w:hint="eastAsia"/>
                      <w:szCs w:val="21"/>
                    </w:rPr>
                    <w:t>非甲烷总烃</w:t>
                  </w:r>
                </w:p>
              </w:tc>
              <w:tc>
                <w:tcPr>
                  <w:tcW w:w="1362" w:type="dxa"/>
                  <w:vAlign w:val="center"/>
                </w:tcPr>
                <w:p>
                  <w:pPr>
                    <w:widowControl/>
                    <w:jc w:val="center"/>
                    <w:rPr>
                      <w:szCs w:val="21"/>
                    </w:rPr>
                  </w:pPr>
                  <w:r>
                    <w:rPr>
                      <w:rFonts w:hint="eastAsia"/>
                      <w:color w:val="000000"/>
                      <w:kern w:val="0"/>
                      <w:szCs w:val="21"/>
                    </w:rPr>
                    <w:t>1</w:t>
                  </w:r>
                  <w:r>
                    <w:rPr>
                      <w:rFonts w:hint="eastAsia" w:ascii="宋体" w:hAnsi="宋体" w:cs="宋体"/>
                      <w:color w:val="000000"/>
                      <w:kern w:val="0"/>
                      <w:szCs w:val="21"/>
                    </w:rPr>
                    <w:t>次</w:t>
                  </w:r>
                  <w:r>
                    <w:rPr>
                      <w:color w:val="000000"/>
                      <w:kern w:val="0"/>
                      <w:szCs w:val="21"/>
                    </w:rPr>
                    <w:t>/</w:t>
                  </w:r>
                  <w:r>
                    <w:rPr>
                      <w:rFonts w:hint="eastAsia" w:ascii="宋体" w:hAnsi="宋体" w:cs="宋体"/>
                      <w:color w:val="000000"/>
                      <w:kern w:val="0"/>
                      <w:szCs w:val="21"/>
                    </w:rPr>
                    <w:t>年</w:t>
                  </w:r>
                </w:p>
              </w:tc>
              <w:tc>
                <w:tcPr>
                  <w:tcW w:w="3185" w:type="dxa"/>
                  <w:vMerge w:val="restart"/>
                  <w:vAlign w:val="center"/>
                </w:tcPr>
                <w:p>
                  <w:pPr>
                    <w:adjustRightInd w:val="0"/>
                    <w:snapToGrid w:val="0"/>
                    <w:jc w:val="center"/>
                  </w:pPr>
                  <w:r>
                    <w:t>《合成树脂工业污染物排</w:t>
                  </w:r>
                </w:p>
                <w:p>
                  <w:pPr>
                    <w:adjustRightInd w:val="0"/>
                    <w:snapToGrid w:val="0"/>
                    <w:jc w:val="center"/>
                  </w:pPr>
                  <w:r>
                    <w:t>放标准》（GB31572-2015）</w:t>
                  </w:r>
                </w:p>
                <w:p>
                  <w:pPr>
                    <w:jc w:val="center"/>
                    <w:rPr>
                      <w:szCs w:val="21"/>
                    </w:rPr>
                  </w:pPr>
                  <w:r>
                    <w:t xml:space="preserve">中表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02" w:type="dxa"/>
                  <w:vAlign w:val="center"/>
                </w:tcPr>
                <w:p>
                  <w:pPr>
                    <w:adjustRightInd w:val="0"/>
                    <w:snapToGrid w:val="0"/>
                    <w:jc w:val="center"/>
                  </w:pPr>
                  <w:r>
                    <w:rPr>
                      <w:rFonts w:hint="eastAsia"/>
                    </w:rPr>
                    <w:t>破碎粉尘排放口</w:t>
                  </w:r>
                </w:p>
              </w:tc>
              <w:tc>
                <w:tcPr>
                  <w:tcW w:w="900" w:type="dxa"/>
                  <w:vAlign w:val="center"/>
                </w:tcPr>
                <w:p>
                  <w:pPr>
                    <w:widowControl/>
                    <w:jc w:val="center"/>
                    <w:rPr>
                      <w:color w:val="000000"/>
                      <w:kern w:val="0"/>
                      <w:szCs w:val="21"/>
                    </w:rPr>
                  </w:pPr>
                  <w:r>
                    <w:rPr>
                      <w:color w:val="000000"/>
                      <w:kern w:val="0"/>
                      <w:szCs w:val="21"/>
                    </w:rPr>
                    <w:t>DA00</w:t>
                  </w:r>
                  <w:r>
                    <w:rPr>
                      <w:rFonts w:hint="eastAsia"/>
                      <w:color w:val="000000"/>
                      <w:kern w:val="0"/>
                      <w:szCs w:val="21"/>
                    </w:rPr>
                    <w:t>3</w:t>
                  </w:r>
                </w:p>
              </w:tc>
              <w:tc>
                <w:tcPr>
                  <w:tcW w:w="1388" w:type="dxa"/>
                  <w:vAlign w:val="center"/>
                </w:tcPr>
                <w:p>
                  <w:pPr>
                    <w:jc w:val="center"/>
                    <w:rPr>
                      <w:szCs w:val="21"/>
                    </w:rPr>
                  </w:pPr>
                  <w:r>
                    <w:rPr>
                      <w:rFonts w:hint="eastAsia"/>
                      <w:szCs w:val="21"/>
                    </w:rPr>
                    <w:t>颗粒物</w:t>
                  </w:r>
                </w:p>
              </w:tc>
              <w:tc>
                <w:tcPr>
                  <w:tcW w:w="1362" w:type="dxa"/>
                  <w:vAlign w:val="center"/>
                </w:tcPr>
                <w:p>
                  <w:pPr>
                    <w:widowControl/>
                    <w:jc w:val="center"/>
                    <w:rPr>
                      <w:color w:val="000000"/>
                      <w:kern w:val="0"/>
                      <w:szCs w:val="21"/>
                    </w:rPr>
                  </w:pPr>
                  <w:r>
                    <w:rPr>
                      <w:rFonts w:hint="eastAsia"/>
                      <w:color w:val="000000"/>
                      <w:kern w:val="0"/>
                      <w:szCs w:val="21"/>
                    </w:rPr>
                    <w:t>1</w:t>
                  </w:r>
                  <w:r>
                    <w:rPr>
                      <w:rFonts w:hint="eastAsia" w:ascii="宋体" w:hAnsi="宋体" w:cs="宋体"/>
                      <w:color w:val="000000"/>
                      <w:kern w:val="0"/>
                      <w:szCs w:val="21"/>
                    </w:rPr>
                    <w:t>次</w:t>
                  </w:r>
                  <w:r>
                    <w:rPr>
                      <w:color w:val="000000"/>
                      <w:kern w:val="0"/>
                      <w:szCs w:val="21"/>
                    </w:rPr>
                    <w:t>/</w:t>
                  </w:r>
                  <w:r>
                    <w:rPr>
                      <w:rFonts w:hint="eastAsia" w:ascii="宋体" w:hAnsi="宋体" w:cs="宋体"/>
                      <w:color w:val="000000"/>
                      <w:kern w:val="0"/>
                      <w:szCs w:val="21"/>
                    </w:rPr>
                    <w:t>年</w:t>
                  </w:r>
                </w:p>
              </w:tc>
              <w:tc>
                <w:tcPr>
                  <w:tcW w:w="318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vAlign w:val="center"/>
                </w:tcPr>
                <w:p>
                  <w:pPr>
                    <w:jc w:val="center"/>
                    <w:rPr>
                      <w:szCs w:val="21"/>
                    </w:rPr>
                  </w:pPr>
                  <w:r>
                    <w:rPr>
                      <w:rFonts w:hint="eastAsia"/>
                      <w:szCs w:val="21"/>
                    </w:rPr>
                    <w:t>食堂排放口</w:t>
                  </w:r>
                </w:p>
              </w:tc>
              <w:tc>
                <w:tcPr>
                  <w:tcW w:w="900" w:type="dxa"/>
                  <w:vAlign w:val="center"/>
                </w:tcPr>
                <w:p>
                  <w:pPr>
                    <w:widowControl/>
                    <w:jc w:val="center"/>
                    <w:rPr>
                      <w:szCs w:val="21"/>
                    </w:rPr>
                  </w:pPr>
                  <w:r>
                    <w:rPr>
                      <w:color w:val="000000"/>
                      <w:kern w:val="0"/>
                      <w:szCs w:val="21"/>
                    </w:rPr>
                    <w:t>DA00</w:t>
                  </w:r>
                  <w:r>
                    <w:rPr>
                      <w:rFonts w:hint="eastAsia"/>
                      <w:color w:val="000000"/>
                      <w:kern w:val="0"/>
                      <w:szCs w:val="21"/>
                    </w:rPr>
                    <w:t>4</w:t>
                  </w:r>
                </w:p>
              </w:tc>
              <w:tc>
                <w:tcPr>
                  <w:tcW w:w="1388" w:type="dxa"/>
                  <w:vAlign w:val="center"/>
                </w:tcPr>
                <w:p>
                  <w:pPr>
                    <w:jc w:val="center"/>
                    <w:rPr>
                      <w:szCs w:val="21"/>
                    </w:rPr>
                  </w:pPr>
                  <w:r>
                    <w:rPr>
                      <w:rFonts w:hint="eastAsia"/>
                      <w:szCs w:val="21"/>
                    </w:rPr>
                    <w:t>油烟</w:t>
                  </w:r>
                </w:p>
              </w:tc>
              <w:tc>
                <w:tcPr>
                  <w:tcW w:w="1362" w:type="dxa"/>
                  <w:vAlign w:val="center"/>
                </w:tcPr>
                <w:p>
                  <w:pPr>
                    <w:widowControl/>
                    <w:jc w:val="center"/>
                    <w:rPr>
                      <w:szCs w:val="21"/>
                    </w:rPr>
                  </w:pPr>
                  <w:r>
                    <w:rPr>
                      <w:rFonts w:hint="eastAsia"/>
                      <w:color w:val="000000"/>
                      <w:kern w:val="0"/>
                      <w:szCs w:val="21"/>
                    </w:rPr>
                    <w:t>1</w:t>
                  </w:r>
                  <w:r>
                    <w:rPr>
                      <w:rFonts w:hint="eastAsia" w:ascii="宋体" w:hAnsi="宋体" w:cs="宋体"/>
                      <w:color w:val="000000"/>
                      <w:kern w:val="0"/>
                      <w:szCs w:val="21"/>
                    </w:rPr>
                    <w:t>次</w:t>
                  </w:r>
                  <w:r>
                    <w:rPr>
                      <w:color w:val="000000"/>
                      <w:kern w:val="0"/>
                      <w:szCs w:val="21"/>
                    </w:rPr>
                    <w:t>/</w:t>
                  </w:r>
                  <w:r>
                    <w:rPr>
                      <w:rFonts w:hint="eastAsia" w:ascii="宋体" w:hAnsi="宋体" w:cs="宋体"/>
                      <w:color w:val="000000"/>
                      <w:kern w:val="0"/>
                      <w:szCs w:val="21"/>
                    </w:rPr>
                    <w:t>年</w:t>
                  </w:r>
                </w:p>
              </w:tc>
              <w:tc>
                <w:tcPr>
                  <w:tcW w:w="3185" w:type="dxa"/>
                  <w:vAlign w:val="center"/>
                </w:tcPr>
                <w:p>
                  <w:pPr>
                    <w:jc w:val="center"/>
                    <w:rPr>
                      <w:szCs w:val="21"/>
                    </w:rPr>
                  </w:pPr>
                  <w:r>
                    <w:rPr>
                      <w:rFonts w:hint="eastAsia"/>
                      <w:bCs/>
                      <w:szCs w:val="21"/>
                    </w:rPr>
                    <w:t>《饮食业油烟排放标准》（GB 18483-2001）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02" w:type="dxa"/>
                  <w:vMerge w:val="restart"/>
                  <w:vAlign w:val="center"/>
                </w:tcPr>
                <w:p>
                  <w:pPr>
                    <w:jc w:val="center"/>
                    <w:rPr>
                      <w:szCs w:val="21"/>
                    </w:rPr>
                  </w:pPr>
                  <w:r>
                    <w:rPr>
                      <w:rFonts w:hint="eastAsia"/>
                      <w:szCs w:val="21"/>
                    </w:rPr>
                    <w:t>无组织</w:t>
                  </w:r>
                </w:p>
              </w:tc>
              <w:tc>
                <w:tcPr>
                  <w:tcW w:w="900" w:type="dxa"/>
                  <w:vMerge w:val="restart"/>
                  <w:vAlign w:val="center"/>
                </w:tcPr>
                <w:p>
                  <w:pPr>
                    <w:jc w:val="center"/>
                    <w:rPr>
                      <w:szCs w:val="21"/>
                    </w:rPr>
                  </w:pPr>
                  <w:r>
                    <w:rPr>
                      <w:rFonts w:hint="eastAsia"/>
                      <w:szCs w:val="21"/>
                    </w:rPr>
                    <w:t>厂界外</w:t>
                  </w:r>
                </w:p>
              </w:tc>
              <w:tc>
                <w:tcPr>
                  <w:tcW w:w="1388" w:type="dxa"/>
                  <w:vAlign w:val="center"/>
                </w:tcPr>
                <w:p>
                  <w:pPr>
                    <w:jc w:val="center"/>
                    <w:rPr>
                      <w:szCs w:val="21"/>
                    </w:rPr>
                  </w:pPr>
                  <w:r>
                    <w:rPr>
                      <w:rFonts w:hint="eastAsia"/>
                      <w:szCs w:val="21"/>
                    </w:rPr>
                    <w:t>非甲烷总烃</w:t>
                  </w:r>
                </w:p>
              </w:tc>
              <w:tc>
                <w:tcPr>
                  <w:tcW w:w="1362" w:type="dxa"/>
                  <w:vMerge w:val="restart"/>
                  <w:vAlign w:val="center"/>
                </w:tcPr>
                <w:p>
                  <w:pPr>
                    <w:widowControl/>
                    <w:jc w:val="center"/>
                    <w:rPr>
                      <w:color w:val="000000"/>
                      <w:kern w:val="0"/>
                      <w:szCs w:val="21"/>
                    </w:rPr>
                  </w:pPr>
                  <w:r>
                    <w:rPr>
                      <w:rFonts w:hint="eastAsia"/>
                      <w:color w:val="000000"/>
                      <w:kern w:val="0"/>
                      <w:szCs w:val="21"/>
                    </w:rPr>
                    <w:t>1</w:t>
                  </w:r>
                  <w:r>
                    <w:rPr>
                      <w:rFonts w:hint="eastAsia" w:ascii="宋体" w:hAnsi="宋体" w:cs="宋体"/>
                      <w:color w:val="000000"/>
                      <w:kern w:val="0"/>
                      <w:szCs w:val="21"/>
                    </w:rPr>
                    <w:t>次</w:t>
                  </w:r>
                  <w:r>
                    <w:rPr>
                      <w:color w:val="000000"/>
                      <w:kern w:val="0"/>
                      <w:szCs w:val="21"/>
                    </w:rPr>
                    <w:t>/</w:t>
                  </w:r>
                  <w:r>
                    <w:rPr>
                      <w:rFonts w:hint="eastAsia" w:ascii="宋体" w:hAnsi="宋体" w:cs="宋体"/>
                      <w:color w:val="000000"/>
                      <w:kern w:val="0"/>
                      <w:szCs w:val="21"/>
                    </w:rPr>
                    <w:t>年</w:t>
                  </w:r>
                </w:p>
              </w:tc>
              <w:tc>
                <w:tcPr>
                  <w:tcW w:w="3185" w:type="dxa"/>
                  <w:vMerge w:val="restart"/>
                  <w:vAlign w:val="center"/>
                </w:tcPr>
                <w:p>
                  <w:pPr>
                    <w:adjustRightInd w:val="0"/>
                    <w:snapToGrid w:val="0"/>
                    <w:jc w:val="center"/>
                  </w:pPr>
                  <w:r>
                    <w:t>《合成树脂工业污染物排</w:t>
                  </w:r>
                </w:p>
                <w:p>
                  <w:pPr>
                    <w:adjustRightInd w:val="0"/>
                    <w:snapToGrid w:val="0"/>
                    <w:jc w:val="center"/>
                  </w:pPr>
                  <w:r>
                    <w:t>放标准》（GB31572-2015）</w:t>
                  </w:r>
                </w:p>
                <w:p>
                  <w:pPr>
                    <w:jc w:val="center"/>
                    <w:rPr>
                      <w:szCs w:val="21"/>
                    </w:rPr>
                  </w:pPr>
                  <w:r>
                    <w:t xml:space="preserve">中表 </w:t>
                  </w: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vMerge w:val="continue"/>
                  <w:vAlign w:val="center"/>
                </w:tcPr>
                <w:p>
                  <w:pPr>
                    <w:jc w:val="center"/>
                    <w:rPr>
                      <w:szCs w:val="21"/>
                    </w:rPr>
                  </w:pPr>
                </w:p>
              </w:tc>
              <w:tc>
                <w:tcPr>
                  <w:tcW w:w="900" w:type="dxa"/>
                  <w:vMerge w:val="continue"/>
                  <w:vAlign w:val="center"/>
                </w:tcPr>
                <w:p>
                  <w:pPr>
                    <w:jc w:val="center"/>
                    <w:rPr>
                      <w:szCs w:val="21"/>
                    </w:rPr>
                  </w:pPr>
                </w:p>
              </w:tc>
              <w:tc>
                <w:tcPr>
                  <w:tcW w:w="1388" w:type="dxa"/>
                  <w:vAlign w:val="center"/>
                </w:tcPr>
                <w:p>
                  <w:pPr>
                    <w:jc w:val="center"/>
                    <w:rPr>
                      <w:szCs w:val="21"/>
                    </w:rPr>
                  </w:pPr>
                  <w:r>
                    <w:rPr>
                      <w:rFonts w:hint="eastAsia"/>
                      <w:szCs w:val="21"/>
                    </w:rPr>
                    <w:t>颗粒物</w:t>
                  </w:r>
                </w:p>
              </w:tc>
              <w:tc>
                <w:tcPr>
                  <w:tcW w:w="1362" w:type="dxa"/>
                  <w:vMerge w:val="continue"/>
                  <w:vAlign w:val="center"/>
                </w:tcPr>
                <w:p>
                  <w:pPr>
                    <w:widowControl/>
                    <w:jc w:val="center"/>
                    <w:rPr>
                      <w:color w:val="000000"/>
                      <w:kern w:val="0"/>
                      <w:szCs w:val="21"/>
                    </w:rPr>
                  </w:pPr>
                </w:p>
              </w:tc>
              <w:tc>
                <w:tcPr>
                  <w:tcW w:w="3185" w:type="dxa"/>
                  <w:vMerge w:val="continue"/>
                  <w:vAlign w:val="center"/>
                </w:tcPr>
                <w:p>
                  <w:pPr>
                    <w:jc w:val="center"/>
                    <w:rPr>
                      <w:szCs w:val="21"/>
                    </w:rPr>
                  </w:pPr>
                </w:p>
              </w:tc>
            </w:tr>
          </w:tbl>
          <w:p>
            <w:pPr>
              <w:spacing w:before="120" w:beforeLines="50" w:line="360" w:lineRule="auto"/>
              <w:ind w:firstLine="482" w:firstLineChars="200"/>
              <w:rPr>
                <w:b/>
                <w:bCs/>
                <w:sz w:val="24"/>
              </w:rPr>
            </w:pPr>
            <w:r>
              <w:rPr>
                <w:rFonts w:hint="eastAsia"/>
                <w:b/>
                <w:bCs/>
                <w:sz w:val="24"/>
              </w:rPr>
              <w:t>4</w:t>
            </w:r>
            <w:r>
              <w:rPr>
                <w:b/>
                <w:bCs/>
                <w:sz w:val="24"/>
              </w:rPr>
              <w:t>、废气可行性</w:t>
            </w:r>
            <w:r>
              <w:rPr>
                <w:rFonts w:hint="eastAsia"/>
                <w:b/>
                <w:bCs/>
                <w:sz w:val="24"/>
              </w:rPr>
              <w:t>技术</w:t>
            </w:r>
            <w:r>
              <w:rPr>
                <w:b/>
                <w:bCs/>
                <w:sz w:val="24"/>
              </w:rPr>
              <w:t>分析</w:t>
            </w:r>
          </w:p>
          <w:p>
            <w:pPr>
              <w:spacing w:line="360" w:lineRule="auto"/>
              <w:ind w:firstLine="480" w:firstLineChars="200"/>
              <w:rPr>
                <w:sz w:val="24"/>
              </w:rPr>
            </w:pPr>
            <w:r>
              <w:rPr>
                <w:rFonts w:hint="eastAsia"/>
                <w:sz w:val="24"/>
              </w:rPr>
              <w:t>根据《排污许可证申请与核发技术规范 橡胶和塑料制品工业》</w:t>
            </w:r>
            <w:r>
              <w:fldChar w:fldCharType="begin"/>
            </w:r>
            <w:r>
              <w:instrText xml:space="preserve"> HYPERLINK "http://www.mee.gov.cn/ywgz/fgbz/bz/bzwb/pwxk/201807/W020180705487846023844.pdf" </w:instrText>
            </w:r>
            <w:r>
              <w:fldChar w:fldCharType="separate"/>
            </w:r>
            <w:r>
              <w:rPr>
                <w:rFonts w:hint="eastAsia"/>
                <w:sz w:val="24"/>
              </w:rPr>
              <w:t>(HJ 1122-2020)</w:t>
            </w:r>
            <w:r>
              <w:rPr>
                <w:rFonts w:hint="eastAsia"/>
                <w:sz w:val="24"/>
              </w:rPr>
              <w:fldChar w:fldCharType="end"/>
            </w:r>
            <w:r>
              <w:rPr>
                <w:rFonts w:hint="eastAsia"/>
                <w:sz w:val="24"/>
              </w:rPr>
              <w:t>中第二部分 塑料制品工业中表7中使用除聚氯乙烯以外的树脂生产塑料包装箱及容器产生的颗粒物、非甲烷总烃、臭气浓度、恶臭特征污染物污染防治设施名称及工艺：除尘、喷淋、吸附、热力燃烧、催化燃烧、低温等离子体、UV光氧化/光催化、生物法、以上组合技术。</w:t>
            </w:r>
          </w:p>
          <w:p>
            <w:pPr>
              <w:spacing w:line="360" w:lineRule="auto"/>
              <w:ind w:firstLine="480" w:firstLineChars="200"/>
              <w:rPr>
                <w:sz w:val="24"/>
              </w:rPr>
            </w:pPr>
            <w:r>
              <w:rPr>
                <w:rFonts w:hint="eastAsia"/>
                <w:sz w:val="24"/>
              </w:rPr>
              <w:t>本项目对破碎粉尘废气采用集气罩收集+布袋除尘器</w:t>
            </w:r>
            <w:r>
              <w:rPr>
                <w:sz w:val="24"/>
              </w:rPr>
              <w:t>装置处理，处理后通过15m高的</w:t>
            </w:r>
            <w:r>
              <w:rPr>
                <w:rFonts w:hint="eastAsia"/>
                <w:sz w:val="24"/>
              </w:rPr>
              <w:t>3</w:t>
            </w:r>
            <w:r>
              <w:rPr>
                <w:sz w:val="24"/>
              </w:rPr>
              <w:t>#排气筒</w:t>
            </w:r>
            <w:r>
              <w:rPr>
                <w:rFonts w:hint="eastAsia"/>
                <w:sz w:val="24"/>
              </w:rPr>
              <w:t>排放，对注塑成型等工序产生的废气采用集气罩收集+二级活性炭吸附处理后通过15m高2#排气筒排放，符合《排污许可证申请与核发技术规范 橡胶和塑料制品工业》</w:t>
            </w:r>
            <w:r>
              <w:fldChar w:fldCharType="begin"/>
            </w:r>
            <w:r>
              <w:instrText xml:space="preserve"> HYPERLINK "http://www.mee.gov.cn/ywgz/fgbz/bz/bzwb/pwxk/201807/W020180705487846023844.pdf" </w:instrText>
            </w:r>
            <w:r>
              <w:fldChar w:fldCharType="separate"/>
            </w:r>
            <w:r>
              <w:rPr>
                <w:rFonts w:hint="eastAsia"/>
                <w:sz w:val="24"/>
              </w:rPr>
              <w:t>(HJ 1122-2020)</w:t>
            </w:r>
            <w:r>
              <w:rPr>
                <w:rFonts w:hint="eastAsia"/>
                <w:sz w:val="24"/>
              </w:rPr>
              <w:fldChar w:fldCharType="end"/>
            </w:r>
            <w:r>
              <w:rPr>
                <w:rFonts w:hint="eastAsia"/>
                <w:sz w:val="24"/>
              </w:rPr>
              <w:t>中要求的可行技术。</w:t>
            </w:r>
          </w:p>
          <w:p>
            <w:pPr>
              <w:spacing w:line="360" w:lineRule="auto"/>
              <w:ind w:firstLine="480" w:firstLineChars="200"/>
              <w:rPr>
                <w:sz w:val="24"/>
              </w:rPr>
            </w:pPr>
            <w:r>
              <w:rPr>
                <w:sz w:val="24"/>
              </w:rPr>
              <w:t>本项目配置的</w:t>
            </w:r>
            <w:r>
              <w:rPr>
                <w:rFonts w:hint="eastAsia"/>
                <w:sz w:val="24"/>
              </w:rPr>
              <w:t>1套</w:t>
            </w:r>
            <w:r>
              <w:rPr>
                <w:sz w:val="24"/>
              </w:rPr>
              <w:t>集气罩+</w:t>
            </w:r>
            <w:r>
              <w:rPr>
                <w:rFonts w:hint="eastAsia"/>
                <w:sz w:val="24"/>
              </w:rPr>
              <w:t>布袋除尘器装置</w:t>
            </w:r>
            <w:r>
              <w:rPr>
                <w:sz w:val="24"/>
              </w:rPr>
              <w:t>投资额约为</w:t>
            </w:r>
            <w:r>
              <w:rPr>
                <w:rFonts w:hint="eastAsia"/>
                <w:sz w:val="24"/>
              </w:rPr>
              <w:t>10</w:t>
            </w:r>
            <w:r>
              <w:rPr>
                <w:sz w:val="24"/>
              </w:rPr>
              <w:t>万元，</w:t>
            </w:r>
            <w:r>
              <w:rPr>
                <w:rFonts w:hint="eastAsia"/>
                <w:sz w:val="24"/>
              </w:rPr>
              <w:t>配置的1套集气罩+二级活性炭装置投资额约15万元，</w:t>
            </w:r>
            <w:r>
              <w:rPr>
                <w:sz w:val="24"/>
              </w:rPr>
              <w:t>类比同类装置，年运行成本约为人民币</w:t>
            </w:r>
            <w:r>
              <w:rPr>
                <w:rFonts w:hint="eastAsia"/>
                <w:sz w:val="24"/>
              </w:rPr>
              <w:t>3</w:t>
            </w:r>
            <w:r>
              <w:rPr>
                <w:sz w:val="24"/>
              </w:rPr>
              <w:t>万元。可见，项目废气处理设施运行成本与企业产值相比，处于较低的水平，具有经济可行性。</w:t>
            </w:r>
          </w:p>
          <w:p>
            <w:pPr>
              <w:spacing w:line="360" w:lineRule="auto"/>
              <w:ind w:firstLine="480" w:firstLineChars="200"/>
              <w:rPr>
                <w:sz w:val="24"/>
              </w:rPr>
            </w:pPr>
            <w:r>
              <w:rPr>
                <w:sz w:val="24"/>
              </w:rPr>
              <w:t>综上所述，本项目采取的废气治理措施在技术、经济方面均可行。</w:t>
            </w:r>
          </w:p>
          <w:p>
            <w:pPr>
              <w:spacing w:line="360" w:lineRule="auto"/>
              <w:ind w:firstLine="482" w:firstLineChars="200"/>
              <w:rPr>
                <w:sz w:val="24"/>
              </w:rPr>
            </w:pPr>
            <w:r>
              <w:rPr>
                <w:rFonts w:hint="eastAsia"/>
                <w:b/>
                <w:bCs/>
                <w:sz w:val="24"/>
              </w:rPr>
              <w:t>5</w:t>
            </w:r>
            <w:r>
              <w:rPr>
                <w:b/>
                <w:bCs/>
                <w:sz w:val="24"/>
              </w:rPr>
              <w:t>、废气</w:t>
            </w:r>
            <w:r>
              <w:rPr>
                <w:rFonts w:hint="eastAsia"/>
                <w:b/>
                <w:bCs/>
                <w:sz w:val="24"/>
              </w:rPr>
              <w:t>达标排放</w:t>
            </w:r>
            <w:r>
              <w:rPr>
                <w:b/>
                <w:bCs/>
                <w:sz w:val="24"/>
              </w:rPr>
              <w:t>分析</w:t>
            </w:r>
          </w:p>
          <w:p>
            <w:pPr>
              <w:spacing w:line="360" w:lineRule="auto"/>
              <w:ind w:firstLine="560"/>
              <w:rPr>
                <w:bCs/>
                <w:sz w:val="24"/>
              </w:rPr>
            </w:pPr>
            <w:r>
              <w:rPr>
                <w:bCs/>
                <w:sz w:val="24"/>
              </w:rPr>
              <w:t>项目有组织废气达标情况见</w:t>
            </w:r>
            <w:r>
              <w:rPr>
                <w:rFonts w:hint="eastAsia"/>
                <w:bCs/>
                <w:sz w:val="24"/>
              </w:rPr>
              <w:t>下表</w:t>
            </w:r>
            <w:r>
              <w:rPr>
                <w:bCs/>
                <w:sz w:val="24"/>
              </w:rPr>
              <w:t>。</w:t>
            </w:r>
          </w:p>
          <w:p>
            <w:pPr>
              <w:spacing w:line="360" w:lineRule="auto"/>
              <w:ind w:firstLine="562"/>
              <w:jc w:val="center"/>
              <w:rPr>
                <w:b/>
                <w:sz w:val="24"/>
              </w:rPr>
            </w:pPr>
            <w:r>
              <w:rPr>
                <w:b/>
                <w:sz w:val="24"/>
              </w:rPr>
              <w:t>表4</w:t>
            </w:r>
            <w:r>
              <w:rPr>
                <w:rFonts w:hint="eastAsia"/>
                <w:b/>
                <w:sz w:val="24"/>
              </w:rPr>
              <w:t>-5</w:t>
            </w:r>
            <w:r>
              <w:rPr>
                <w:b/>
                <w:sz w:val="24"/>
              </w:rPr>
              <w:t>项目有组织废气达标情况一览表</w:t>
            </w:r>
          </w:p>
          <w:tbl>
            <w:tblPr>
              <w:tblStyle w:val="22"/>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7"/>
              <w:gridCol w:w="1831"/>
              <w:gridCol w:w="969"/>
              <w:gridCol w:w="1069"/>
              <w:gridCol w:w="1075"/>
              <w:gridCol w:w="963"/>
              <w:gridCol w:w="750"/>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545" w:type="pct"/>
                  <w:vMerge w:val="restart"/>
                  <w:vAlign w:val="center"/>
                </w:tcPr>
                <w:p>
                  <w:pPr>
                    <w:pStyle w:val="68"/>
                    <w:rPr>
                      <w:b/>
                      <w:bCs w:val="0"/>
                      <w:color w:val="auto"/>
                    </w:rPr>
                  </w:pPr>
                  <w:r>
                    <w:rPr>
                      <w:b/>
                      <w:bCs w:val="0"/>
                      <w:color w:val="auto"/>
                    </w:rPr>
                    <w:t>排气筒编号</w:t>
                  </w:r>
                </w:p>
              </w:tc>
              <w:tc>
                <w:tcPr>
                  <w:tcW w:w="1113" w:type="pct"/>
                  <w:vMerge w:val="restart"/>
                  <w:vAlign w:val="center"/>
                </w:tcPr>
                <w:p>
                  <w:pPr>
                    <w:pStyle w:val="68"/>
                    <w:rPr>
                      <w:b/>
                      <w:bCs w:val="0"/>
                      <w:color w:val="auto"/>
                    </w:rPr>
                  </w:pPr>
                  <w:r>
                    <w:rPr>
                      <w:b/>
                      <w:bCs w:val="0"/>
                      <w:color w:val="auto"/>
                    </w:rPr>
                    <w:t>污染物</w:t>
                  </w:r>
                </w:p>
                <w:p>
                  <w:pPr>
                    <w:pStyle w:val="68"/>
                    <w:rPr>
                      <w:b/>
                      <w:bCs w:val="0"/>
                      <w:color w:val="auto"/>
                    </w:rPr>
                  </w:pPr>
                  <w:r>
                    <w:rPr>
                      <w:b/>
                      <w:bCs w:val="0"/>
                      <w:color w:val="auto"/>
                    </w:rPr>
                    <w:t>名称</w:t>
                  </w:r>
                </w:p>
              </w:tc>
              <w:tc>
                <w:tcPr>
                  <w:tcW w:w="1893" w:type="pct"/>
                  <w:gridSpan w:val="3"/>
                  <w:vAlign w:val="center"/>
                </w:tcPr>
                <w:p>
                  <w:pPr>
                    <w:pStyle w:val="68"/>
                    <w:rPr>
                      <w:b/>
                      <w:bCs w:val="0"/>
                      <w:color w:val="auto"/>
                    </w:rPr>
                  </w:pPr>
                  <w:r>
                    <w:rPr>
                      <w:b/>
                      <w:bCs w:val="0"/>
                      <w:color w:val="auto"/>
                    </w:rPr>
                    <w:t>排放状况</w:t>
                  </w:r>
                </w:p>
              </w:tc>
              <w:tc>
                <w:tcPr>
                  <w:tcW w:w="1042" w:type="pct"/>
                  <w:gridSpan w:val="2"/>
                  <w:vAlign w:val="center"/>
                </w:tcPr>
                <w:p>
                  <w:pPr>
                    <w:pStyle w:val="68"/>
                    <w:rPr>
                      <w:b/>
                      <w:bCs w:val="0"/>
                      <w:color w:val="auto"/>
                    </w:rPr>
                  </w:pPr>
                  <w:r>
                    <w:rPr>
                      <w:b/>
                      <w:bCs w:val="0"/>
                      <w:color w:val="auto"/>
                    </w:rPr>
                    <w:t>排放标准</w:t>
                  </w:r>
                </w:p>
              </w:tc>
              <w:tc>
                <w:tcPr>
                  <w:tcW w:w="405" w:type="pct"/>
                  <w:vMerge w:val="restart"/>
                  <w:vAlign w:val="center"/>
                </w:tcPr>
                <w:p>
                  <w:pPr>
                    <w:pStyle w:val="68"/>
                    <w:rPr>
                      <w:b/>
                      <w:bCs w:val="0"/>
                      <w:color w:val="auto"/>
                    </w:rPr>
                  </w:pPr>
                  <w:r>
                    <w:rPr>
                      <w:b/>
                      <w:bCs w:val="0"/>
                      <w:color w:val="auto"/>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45" w:type="pct"/>
                  <w:vMerge w:val="continue"/>
                  <w:vAlign w:val="center"/>
                </w:tcPr>
                <w:p>
                  <w:pPr>
                    <w:pStyle w:val="68"/>
                    <w:rPr>
                      <w:color w:val="auto"/>
                    </w:rPr>
                  </w:pPr>
                </w:p>
              </w:tc>
              <w:tc>
                <w:tcPr>
                  <w:tcW w:w="1113" w:type="pct"/>
                  <w:vMerge w:val="continue"/>
                  <w:vAlign w:val="center"/>
                </w:tcPr>
                <w:p>
                  <w:pPr>
                    <w:pStyle w:val="68"/>
                    <w:rPr>
                      <w:color w:val="auto"/>
                    </w:rPr>
                  </w:pPr>
                </w:p>
              </w:tc>
              <w:tc>
                <w:tcPr>
                  <w:tcW w:w="589" w:type="pct"/>
                  <w:vAlign w:val="center"/>
                </w:tcPr>
                <w:p>
                  <w:pPr>
                    <w:pStyle w:val="68"/>
                    <w:rPr>
                      <w:b/>
                      <w:bCs w:val="0"/>
                      <w:color w:val="auto"/>
                    </w:rPr>
                  </w:pPr>
                  <w:r>
                    <w:rPr>
                      <w:b/>
                      <w:bCs w:val="0"/>
                      <w:color w:val="auto"/>
                    </w:rPr>
                    <w:t>浓度mg/m</w:t>
                  </w:r>
                  <w:r>
                    <w:rPr>
                      <w:b/>
                      <w:bCs w:val="0"/>
                      <w:color w:val="auto"/>
                      <w:vertAlign w:val="superscript"/>
                    </w:rPr>
                    <w:t>3</w:t>
                  </w:r>
                </w:p>
              </w:tc>
              <w:tc>
                <w:tcPr>
                  <w:tcW w:w="650" w:type="pct"/>
                  <w:vAlign w:val="center"/>
                </w:tcPr>
                <w:p>
                  <w:pPr>
                    <w:pStyle w:val="68"/>
                    <w:rPr>
                      <w:b/>
                      <w:bCs w:val="0"/>
                      <w:color w:val="auto"/>
                    </w:rPr>
                  </w:pPr>
                  <w:r>
                    <w:rPr>
                      <w:b/>
                      <w:bCs w:val="0"/>
                      <w:color w:val="auto"/>
                    </w:rPr>
                    <w:t>速率kg/h</w:t>
                  </w:r>
                </w:p>
              </w:tc>
              <w:tc>
                <w:tcPr>
                  <w:tcW w:w="653" w:type="pct"/>
                  <w:vAlign w:val="center"/>
                </w:tcPr>
                <w:p>
                  <w:pPr>
                    <w:pStyle w:val="68"/>
                    <w:rPr>
                      <w:b/>
                      <w:bCs w:val="0"/>
                      <w:color w:val="auto"/>
                    </w:rPr>
                  </w:pPr>
                  <w:r>
                    <w:rPr>
                      <w:b/>
                      <w:bCs w:val="0"/>
                      <w:color w:val="auto"/>
                    </w:rPr>
                    <w:t>排放量t/a</w:t>
                  </w:r>
                </w:p>
              </w:tc>
              <w:tc>
                <w:tcPr>
                  <w:tcW w:w="586" w:type="pct"/>
                  <w:vAlign w:val="center"/>
                </w:tcPr>
                <w:p>
                  <w:pPr>
                    <w:pStyle w:val="68"/>
                    <w:rPr>
                      <w:b/>
                      <w:bCs w:val="0"/>
                      <w:color w:val="auto"/>
                    </w:rPr>
                  </w:pPr>
                  <w:r>
                    <w:rPr>
                      <w:b/>
                      <w:bCs w:val="0"/>
                      <w:color w:val="auto"/>
                    </w:rPr>
                    <w:t>浓度mg/m</w:t>
                  </w:r>
                  <w:r>
                    <w:rPr>
                      <w:b/>
                      <w:bCs w:val="0"/>
                      <w:color w:val="auto"/>
                      <w:vertAlign w:val="superscript"/>
                    </w:rPr>
                    <w:t>3</w:t>
                  </w:r>
                </w:p>
              </w:tc>
              <w:tc>
                <w:tcPr>
                  <w:tcW w:w="456" w:type="pct"/>
                  <w:vAlign w:val="center"/>
                </w:tcPr>
                <w:p>
                  <w:pPr>
                    <w:pStyle w:val="68"/>
                    <w:rPr>
                      <w:b/>
                      <w:bCs w:val="0"/>
                      <w:color w:val="auto"/>
                    </w:rPr>
                  </w:pPr>
                  <w:r>
                    <w:rPr>
                      <w:b/>
                      <w:bCs w:val="0"/>
                      <w:color w:val="auto"/>
                    </w:rPr>
                    <w:t>速率kg/h</w:t>
                  </w:r>
                </w:p>
              </w:tc>
              <w:tc>
                <w:tcPr>
                  <w:tcW w:w="405" w:type="pct"/>
                  <w:vMerge w:val="continue"/>
                  <w:vAlign w:val="center"/>
                </w:tcPr>
                <w:p>
                  <w:pPr>
                    <w:pStyle w:val="68"/>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545" w:type="pct"/>
                  <w:vAlign w:val="center"/>
                </w:tcPr>
                <w:p>
                  <w:pPr>
                    <w:pStyle w:val="68"/>
                    <w:rPr>
                      <w:color w:val="auto"/>
                    </w:rPr>
                  </w:pPr>
                  <w:r>
                    <w:rPr>
                      <w:color w:val="auto"/>
                    </w:rPr>
                    <w:t>H</w:t>
                  </w:r>
                  <w:r>
                    <w:rPr>
                      <w:color w:val="auto"/>
                      <w:vertAlign w:val="subscript"/>
                    </w:rPr>
                    <w:t>1</w:t>
                  </w:r>
                </w:p>
              </w:tc>
              <w:tc>
                <w:tcPr>
                  <w:tcW w:w="1113" w:type="pct"/>
                  <w:vAlign w:val="center"/>
                </w:tcPr>
                <w:p>
                  <w:pPr>
                    <w:pStyle w:val="68"/>
                    <w:rPr>
                      <w:color w:val="auto"/>
                    </w:rPr>
                  </w:pPr>
                  <w:r>
                    <w:rPr>
                      <w:rFonts w:hint="eastAsia"/>
                      <w:color w:val="auto"/>
                      <w:kern w:val="0"/>
                    </w:rPr>
                    <w:t>非甲烷总烃</w:t>
                  </w:r>
                </w:p>
              </w:tc>
              <w:tc>
                <w:tcPr>
                  <w:tcW w:w="969" w:type="dxa"/>
                  <w:vAlign w:val="center"/>
                </w:tcPr>
                <w:p>
                  <w:pPr>
                    <w:jc w:val="center"/>
                    <w:rPr>
                      <w:szCs w:val="21"/>
                    </w:rPr>
                  </w:pPr>
                  <w:r>
                    <w:rPr>
                      <w:rFonts w:hint="eastAsia"/>
                      <w:szCs w:val="21"/>
                    </w:rPr>
                    <w:t>1.64</w:t>
                  </w:r>
                </w:p>
              </w:tc>
              <w:tc>
                <w:tcPr>
                  <w:tcW w:w="1069" w:type="dxa"/>
                  <w:vAlign w:val="center"/>
                </w:tcPr>
                <w:p>
                  <w:pPr>
                    <w:jc w:val="center"/>
                    <w:rPr>
                      <w:szCs w:val="21"/>
                    </w:rPr>
                  </w:pPr>
                  <w:r>
                    <w:rPr>
                      <w:rFonts w:hint="eastAsia"/>
                      <w:szCs w:val="21"/>
                    </w:rPr>
                    <w:t>0.041</w:t>
                  </w:r>
                </w:p>
              </w:tc>
              <w:tc>
                <w:tcPr>
                  <w:tcW w:w="1076" w:type="dxa"/>
                  <w:vAlign w:val="center"/>
                </w:tcPr>
                <w:p>
                  <w:pPr>
                    <w:jc w:val="center"/>
                    <w:rPr>
                      <w:szCs w:val="21"/>
                    </w:rPr>
                  </w:pPr>
                  <w:r>
                    <w:rPr>
                      <w:rFonts w:hint="eastAsia"/>
                      <w:spacing w:val="2"/>
                      <w:szCs w:val="21"/>
                    </w:rPr>
                    <w:t>0.123</w:t>
                  </w:r>
                </w:p>
              </w:tc>
              <w:tc>
                <w:tcPr>
                  <w:tcW w:w="586" w:type="pct"/>
                  <w:vAlign w:val="center"/>
                </w:tcPr>
                <w:p>
                  <w:pPr>
                    <w:pStyle w:val="68"/>
                    <w:rPr>
                      <w:color w:val="auto"/>
                    </w:rPr>
                  </w:pPr>
                  <w:r>
                    <w:rPr>
                      <w:rFonts w:hint="eastAsia"/>
                      <w:color w:val="auto"/>
                    </w:rPr>
                    <w:t>60</w:t>
                  </w:r>
                </w:p>
              </w:tc>
              <w:tc>
                <w:tcPr>
                  <w:tcW w:w="456" w:type="pct"/>
                  <w:vAlign w:val="center"/>
                </w:tcPr>
                <w:p>
                  <w:pPr>
                    <w:pStyle w:val="68"/>
                    <w:rPr>
                      <w:color w:val="auto"/>
                    </w:rPr>
                  </w:pPr>
                  <w:r>
                    <w:rPr>
                      <w:rFonts w:hint="eastAsia"/>
                      <w:color w:val="auto"/>
                    </w:rPr>
                    <w:t>/</w:t>
                  </w:r>
                </w:p>
              </w:tc>
              <w:tc>
                <w:tcPr>
                  <w:tcW w:w="405" w:type="pct"/>
                  <w:vAlign w:val="center"/>
                </w:tcPr>
                <w:p>
                  <w:pPr>
                    <w:pStyle w:val="68"/>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545" w:type="pct"/>
                  <w:vAlign w:val="center"/>
                </w:tcPr>
                <w:p>
                  <w:pPr>
                    <w:pStyle w:val="68"/>
                    <w:rPr>
                      <w:color w:val="auto"/>
                    </w:rPr>
                  </w:pPr>
                  <w:r>
                    <w:rPr>
                      <w:color w:val="auto"/>
                    </w:rPr>
                    <w:t>H</w:t>
                  </w:r>
                  <w:r>
                    <w:rPr>
                      <w:color w:val="auto"/>
                      <w:vertAlign w:val="subscript"/>
                    </w:rPr>
                    <w:t>2</w:t>
                  </w:r>
                </w:p>
              </w:tc>
              <w:tc>
                <w:tcPr>
                  <w:tcW w:w="1113" w:type="pct"/>
                  <w:vAlign w:val="center"/>
                </w:tcPr>
                <w:p>
                  <w:pPr>
                    <w:pStyle w:val="68"/>
                    <w:rPr>
                      <w:color w:val="auto"/>
                    </w:rPr>
                  </w:pPr>
                  <w:r>
                    <w:rPr>
                      <w:color w:val="auto"/>
                      <w:kern w:val="0"/>
                    </w:rPr>
                    <w:t>颗粒物</w:t>
                  </w:r>
                </w:p>
              </w:tc>
              <w:tc>
                <w:tcPr>
                  <w:tcW w:w="969" w:type="dxa"/>
                  <w:vAlign w:val="center"/>
                </w:tcPr>
                <w:p>
                  <w:pPr>
                    <w:jc w:val="center"/>
                    <w:rPr>
                      <w:szCs w:val="21"/>
                    </w:rPr>
                  </w:pPr>
                  <w:r>
                    <w:rPr>
                      <w:rFonts w:hint="eastAsia"/>
                      <w:szCs w:val="21"/>
                    </w:rPr>
                    <w:t>15.6</w:t>
                  </w:r>
                </w:p>
              </w:tc>
              <w:tc>
                <w:tcPr>
                  <w:tcW w:w="1069" w:type="dxa"/>
                  <w:vAlign w:val="center"/>
                </w:tcPr>
                <w:p>
                  <w:pPr>
                    <w:jc w:val="center"/>
                    <w:rPr>
                      <w:szCs w:val="21"/>
                    </w:rPr>
                  </w:pPr>
                  <w:r>
                    <w:rPr>
                      <w:rFonts w:hint="eastAsia"/>
                      <w:szCs w:val="21"/>
                    </w:rPr>
                    <w:t>0.094</w:t>
                  </w:r>
                </w:p>
              </w:tc>
              <w:tc>
                <w:tcPr>
                  <w:tcW w:w="1076" w:type="dxa"/>
                  <w:vAlign w:val="center"/>
                </w:tcPr>
                <w:p>
                  <w:pPr>
                    <w:jc w:val="center"/>
                    <w:rPr>
                      <w:szCs w:val="21"/>
                    </w:rPr>
                  </w:pPr>
                  <w:r>
                    <w:rPr>
                      <w:rFonts w:hint="eastAsia"/>
                      <w:spacing w:val="2"/>
                      <w:szCs w:val="21"/>
                    </w:rPr>
                    <w:t>0.056</w:t>
                  </w:r>
                </w:p>
              </w:tc>
              <w:tc>
                <w:tcPr>
                  <w:tcW w:w="586" w:type="pct"/>
                  <w:vAlign w:val="center"/>
                </w:tcPr>
                <w:p>
                  <w:pPr>
                    <w:pStyle w:val="68"/>
                    <w:rPr>
                      <w:color w:val="auto"/>
                    </w:rPr>
                  </w:pPr>
                  <w:r>
                    <w:rPr>
                      <w:rFonts w:hint="eastAsia"/>
                      <w:color w:val="auto"/>
                    </w:rPr>
                    <w:t>20</w:t>
                  </w:r>
                </w:p>
              </w:tc>
              <w:tc>
                <w:tcPr>
                  <w:tcW w:w="456" w:type="pct"/>
                  <w:vAlign w:val="center"/>
                </w:tcPr>
                <w:p>
                  <w:pPr>
                    <w:pStyle w:val="68"/>
                    <w:rPr>
                      <w:color w:val="auto"/>
                    </w:rPr>
                  </w:pPr>
                  <w:r>
                    <w:rPr>
                      <w:rFonts w:hint="eastAsia"/>
                      <w:color w:val="auto"/>
                    </w:rPr>
                    <w:t>/</w:t>
                  </w:r>
                </w:p>
              </w:tc>
              <w:tc>
                <w:tcPr>
                  <w:tcW w:w="405" w:type="pct"/>
                  <w:vAlign w:val="center"/>
                </w:tcPr>
                <w:p>
                  <w:pPr>
                    <w:pStyle w:val="68"/>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545" w:type="pct"/>
                  <w:vAlign w:val="center"/>
                </w:tcPr>
                <w:p>
                  <w:pPr>
                    <w:pStyle w:val="68"/>
                    <w:rPr>
                      <w:color w:val="auto"/>
                    </w:rPr>
                  </w:pPr>
                  <w:r>
                    <w:rPr>
                      <w:color w:val="auto"/>
                    </w:rPr>
                    <w:t>H</w:t>
                  </w:r>
                  <w:r>
                    <w:rPr>
                      <w:color w:val="auto"/>
                      <w:vertAlign w:val="subscript"/>
                    </w:rPr>
                    <w:t>3</w:t>
                  </w:r>
                </w:p>
              </w:tc>
              <w:tc>
                <w:tcPr>
                  <w:tcW w:w="1113" w:type="pct"/>
                  <w:vAlign w:val="center"/>
                </w:tcPr>
                <w:p>
                  <w:pPr>
                    <w:pStyle w:val="68"/>
                    <w:rPr>
                      <w:color w:val="auto"/>
                      <w:kern w:val="0"/>
                    </w:rPr>
                  </w:pPr>
                  <w:r>
                    <w:rPr>
                      <w:rFonts w:hint="eastAsia"/>
                      <w:color w:val="auto"/>
                    </w:rPr>
                    <w:t>油烟</w:t>
                  </w:r>
                </w:p>
              </w:tc>
              <w:tc>
                <w:tcPr>
                  <w:tcW w:w="969" w:type="dxa"/>
                  <w:vAlign w:val="center"/>
                </w:tcPr>
                <w:p>
                  <w:pPr>
                    <w:jc w:val="center"/>
                    <w:rPr>
                      <w:szCs w:val="21"/>
                    </w:rPr>
                  </w:pPr>
                  <w:r>
                    <w:rPr>
                      <w:rFonts w:hint="eastAsia"/>
                      <w:szCs w:val="21"/>
                    </w:rPr>
                    <w:t>1.5</w:t>
                  </w:r>
                </w:p>
              </w:tc>
              <w:tc>
                <w:tcPr>
                  <w:tcW w:w="1069" w:type="dxa"/>
                  <w:vAlign w:val="center"/>
                </w:tcPr>
                <w:p>
                  <w:pPr>
                    <w:jc w:val="center"/>
                    <w:rPr>
                      <w:szCs w:val="21"/>
                    </w:rPr>
                  </w:pPr>
                  <w:r>
                    <w:rPr>
                      <w:rFonts w:hint="eastAsia"/>
                      <w:szCs w:val="21"/>
                    </w:rPr>
                    <w:t>0.03</w:t>
                  </w:r>
                </w:p>
              </w:tc>
              <w:tc>
                <w:tcPr>
                  <w:tcW w:w="1076" w:type="dxa"/>
                  <w:vAlign w:val="center"/>
                </w:tcPr>
                <w:p>
                  <w:pPr>
                    <w:jc w:val="center"/>
                    <w:rPr>
                      <w:szCs w:val="21"/>
                    </w:rPr>
                  </w:pPr>
                  <w:r>
                    <w:rPr>
                      <w:rFonts w:hint="eastAsia"/>
                      <w:spacing w:val="2"/>
                      <w:szCs w:val="21"/>
                    </w:rPr>
                    <w:t>0.027</w:t>
                  </w:r>
                </w:p>
              </w:tc>
              <w:tc>
                <w:tcPr>
                  <w:tcW w:w="586" w:type="pct"/>
                  <w:vAlign w:val="center"/>
                </w:tcPr>
                <w:p>
                  <w:pPr>
                    <w:pStyle w:val="68"/>
                    <w:rPr>
                      <w:color w:val="auto"/>
                    </w:rPr>
                  </w:pPr>
                  <w:r>
                    <w:rPr>
                      <w:rFonts w:hint="eastAsia"/>
                      <w:color w:val="auto"/>
                    </w:rPr>
                    <w:t>2.0</w:t>
                  </w:r>
                </w:p>
              </w:tc>
              <w:tc>
                <w:tcPr>
                  <w:tcW w:w="456" w:type="pct"/>
                  <w:vAlign w:val="center"/>
                </w:tcPr>
                <w:p>
                  <w:pPr>
                    <w:pStyle w:val="68"/>
                    <w:rPr>
                      <w:color w:val="auto"/>
                    </w:rPr>
                  </w:pPr>
                  <w:r>
                    <w:rPr>
                      <w:rFonts w:hint="eastAsia"/>
                      <w:color w:val="auto"/>
                    </w:rPr>
                    <w:t>/</w:t>
                  </w:r>
                </w:p>
              </w:tc>
              <w:tc>
                <w:tcPr>
                  <w:tcW w:w="405" w:type="pct"/>
                  <w:vAlign w:val="center"/>
                </w:tcPr>
                <w:p>
                  <w:pPr>
                    <w:pStyle w:val="68"/>
                    <w:rPr>
                      <w:color w:val="auto"/>
                    </w:rPr>
                  </w:pPr>
                  <w:r>
                    <w:rPr>
                      <w:color w:val="auto"/>
                    </w:rPr>
                    <w:t>达标</w:t>
                  </w:r>
                </w:p>
              </w:tc>
            </w:tr>
          </w:tbl>
          <w:p>
            <w:pPr>
              <w:spacing w:before="120" w:beforeLines="50" w:line="360" w:lineRule="auto"/>
              <w:ind w:firstLine="561"/>
              <w:rPr>
                <w:bCs/>
                <w:sz w:val="24"/>
              </w:rPr>
            </w:pPr>
            <w:r>
              <w:rPr>
                <w:bCs/>
                <w:sz w:val="24"/>
              </w:rPr>
              <w:t>由上表可知，本项目有组织废气经处理后均可达标排放。</w:t>
            </w:r>
          </w:p>
          <w:p>
            <w:pPr>
              <w:pStyle w:val="5"/>
              <w:spacing w:before="0" w:after="0" w:line="360" w:lineRule="auto"/>
              <w:ind w:firstLine="482" w:firstLineChars="200"/>
              <w:jc w:val="left"/>
              <w:rPr>
                <w:sz w:val="24"/>
                <w:szCs w:val="24"/>
              </w:rPr>
            </w:pPr>
            <w:r>
              <w:rPr>
                <w:rFonts w:hint="eastAsia"/>
                <w:bCs w:val="0"/>
                <w:sz w:val="24"/>
                <w:szCs w:val="24"/>
              </w:rPr>
              <w:t>6</w:t>
            </w:r>
            <w:r>
              <w:rPr>
                <w:rFonts w:hAnsi="宋体"/>
                <w:bCs w:val="0"/>
                <w:sz w:val="24"/>
                <w:szCs w:val="24"/>
              </w:rPr>
              <w:t>、</w:t>
            </w:r>
            <w:r>
              <w:rPr>
                <w:rFonts w:hAnsi="宋体"/>
                <w:sz w:val="24"/>
                <w:szCs w:val="24"/>
              </w:rPr>
              <w:t>非正常工况排放情况</w:t>
            </w:r>
            <w:r>
              <w:rPr>
                <w:sz w:val="24"/>
                <w:szCs w:val="24"/>
              </w:rPr>
              <w:t xml:space="preserve"> </w:t>
            </w:r>
          </w:p>
          <w:p>
            <w:pPr>
              <w:widowControl/>
              <w:spacing w:line="360" w:lineRule="auto"/>
              <w:ind w:firstLine="480" w:firstLineChars="200"/>
              <w:jc w:val="left"/>
              <w:rPr>
                <w:sz w:val="24"/>
              </w:rPr>
            </w:pPr>
            <w:r>
              <w:rPr>
                <w:rFonts w:hAnsi="宋体"/>
                <w:color w:val="000000"/>
                <w:kern w:val="0"/>
                <w:sz w:val="24"/>
              </w:rPr>
              <w:t>本项目非正常工况下运行废气对外环境可能造成的影响。具体分析如下：</w:t>
            </w:r>
            <w:r>
              <w:rPr>
                <w:color w:val="000000"/>
                <w:kern w:val="0"/>
                <w:sz w:val="24"/>
              </w:rPr>
              <w:t xml:space="preserve"> </w:t>
            </w:r>
          </w:p>
          <w:p>
            <w:pPr>
              <w:widowControl/>
              <w:spacing w:line="360" w:lineRule="auto"/>
              <w:ind w:firstLine="480" w:firstLineChars="200"/>
              <w:jc w:val="left"/>
              <w:rPr>
                <w:rFonts w:hAnsi="宋体"/>
                <w:color w:val="000000"/>
                <w:kern w:val="0"/>
                <w:sz w:val="24"/>
              </w:rPr>
            </w:pPr>
            <w:r>
              <w:rPr>
                <w:rFonts w:hAnsi="宋体"/>
                <w:color w:val="000000"/>
                <w:kern w:val="0"/>
                <w:sz w:val="24"/>
              </w:rPr>
              <w:t>项目废气主要来自</w:t>
            </w:r>
            <w:r>
              <w:rPr>
                <w:rFonts w:hint="eastAsia"/>
                <w:sz w:val="24"/>
              </w:rPr>
              <w:t>注塑工序中的有机废气和破碎工序产生的颗粒物</w:t>
            </w:r>
            <w:r>
              <w:rPr>
                <w:rFonts w:hAnsi="宋体"/>
                <w:color w:val="000000"/>
                <w:kern w:val="0"/>
                <w:sz w:val="24"/>
              </w:rPr>
              <w:t>。</w:t>
            </w:r>
          </w:p>
          <w:p>
            <w:pPr>
              <w:widowControl/>
              <w:spacing w:line="360" w:lineRule="auto"/>
              <w:ind w:firstLine="480" w:firstLineChars="200"/>
              <w:jc w:val="left"/>
              <w:rPr>
                <w:color w:val="000000"/>
                <w:kern w:val="0"/>
                <w:sz w:val="24"/>
              </w:rPr>
            </w:pPr>
            <w:r>
              <w:rPr>
                <w:rFonts w:hint="eastAsia"/>
                <w:sz w:val="24"/>
              </w:rPr>
              <w:t>有机废气和粉尘废气</w:t>
            </w:r>
            <w:r>
              <w:rPr>
                <w:rFonts w:hAnsi="宋体"/>
                <w:color w:val="000000"/>
                <w:kern w:val="0"/>
                <w:sz w:val="24"/>
              </w:rPr>
              <w:t>的非正常排放主要考虑</w:t>
            </w:r>
            <w:r>
              <w:rPr>
                <w:rFonts w:hint="eastAsia"/>
                <w:color w:val="000000"/>
                <w:kern w:val="0"/>
                <w:sz w:val="24"/>
              </w:rPr>
              <w:t>废气</w:t>
            </w:r>
            <w:r>
              <w:rPr>
                <w:rFonts w:hAnsi="宋体"/>
                <w:color w:val="000000"/>
                <w:kern w:val="0"/>
                <w:sz w:val="24"/>
              </w:rPr>
              <w:t>所配的废气治理设施发生故障，在发生故障时上述</w:t>
            </w:r>
            <w:r>
              <w:rPr>
                <w:rFonts w:hint="eastAsia" w:hAnsi="宋体"/>
                <w:color w:val="000000"/>
                <w:kern w:val="0"/>
                <w:sz w:val="24"/>
              </w:rPr>
              <w:t>废气</w:t>
            </w:r>
            <w:r>
              <w:rPr>
                <w:rFonts w:hAnsi="宋体"/>
                <w:color w:val="000000"/>
                <w:kern w:val="0"/>
                <w:sz w:val="24"/>
              </w:rPr>
              <w:t>所排放的</w:t>
            </w:r>
            <w:r>
              <w:rPr>
                <w:rFonts w:hint="eastAsia" w:hAnsi="宋体"/>
                <w:color w:val="000000"/>
                <w:kern w:val="0"/>
                <w:sz w:val="24"/>
              </w:rPr>
              <w:t>非甲烷总烃和粉尘等</w:t>
            </w:r>
            <w:r>
              <w:rPr>
                <w:rFonts w:hAnsi="宋体"/>
                <w:color w:val="000000"/>
                <w:kern w:val="0"/>
                <w:sz w:val="24"/>
              </w:rPr>
              <w:t>将得不到有效的处理处置，带来不利的环境影响。按废气处理措施完全失效的情况即净化效率为</w:t>
            </w:r>
            <w:r>
              <w:rPr>
                <w:color w:val="000000"/>
                <w:kern w:val="0"/>
                <w:sz w:val="24"/>
              </w:rPr>
              <w:t xml:space="preserve"> 0%</w:t>
            </w:r>
            <w:r>
              <w:rPr>
                <w:rFonts w:hAnsi="宋体"/>
                <w:color w:val="000000"/>
                <w:kern w:val="0"/>
                <w:sz w:val="24"/>
              </w:rPr>
              <w:t>进行考虑，则非正常工况下污染物排放量计算如下：</w:t>
            </w:r>
          </w:p>
          <w:p>
            <w:pPr>
              <w:widowControl/>
              <w:spacing w:line="360" w:lineRule="auto"/>
              <w:ind w:firstLine="480" w:firstLineChars="200"/>
              <w:jc w:val="left"/>
              <w:rPr>
                <w:sz w:val="24"/>
              </w:rPr>
            </w:pPr>
            <w:r>
              <w:rPr>
                <w:rFonts w:hint="eastAsia"/>
                <w:sz w:val="24"/>
              </w:rPr>
              <w:t>活性炭装置非正常状况：有机废气所配二级活性炭装置处理设施处理效率为0。废气排放计算：根据废气源强核算过程中有机废气产生量为1.23t/a，据此，估算出二级活性炭装置在非正常状况下单位小时外排有机废气且未处理而直排的量约为0.41kg/h。</w:t>
            </w:r>
            <w:r>
              <w:rPr>
                <w:sz w:val="24"/>
              </w:rPr>
              <w:t xml:space="preserve"> </w:t>
            </w:r>
          </w:p>
          <w:p>
            <w:pPr>
              <w:widowControl/>
              <w:spacing w:line="360" w:lineRule="auto"/>
              <w:ind w:firstLine="480" w:firstLineChars="200"/>
              <w:jc w:val="left"/>
              <w:rPr>
                <w:sz w:val="24"/>
              </w:rPr>
            </w:pPr>
            <w:r>
              <w:rPr>
                <w:rFonts w:hint="eastAsia"/>
                <w:sz w:val="24"/>
              </w:rPr>
              <w:t>除尘装置非正常状况：粉尘所配布袋除尘器装置处理设施处理效率为0。废气排放计算：根据废气源强核算过程中粉尘产生量为1.125t/a，据此，估算出除尘装置在非正常状况下单位小时外排粉尘废气且未处理而直排的量约为1.875kg/h。</w:t>
            </w:r>
            <w:r>
              <w:rPr>
                <w:sz w:val="24"/>
              </w:rPr>
              <w:t xml:space="preserve"> </w:t>
            </w:r>
          </w:p>
          <w:p>
            <w:pPr>
              <w:pStyle w:val="10"/>
              <w:jc w:val="center"/>
              <w:rPr>
                <w:b/>
                <w:bCs/>
                <w:sz w:val="24"/>
                <w:szCs w:val="24"/>
              </w:rPr>
            </w:pPr>
            <w:r>
              <w:rPr>
                <w:rFonts w:hAnsi="宋体"/>
                <w:b/>
                <w:bCs/>
                <w:color w:val="000000"/>
                <w:sz w:val="24"/>
                <w:szCs w:val="24"/>
              </w:rPr>
              <w:t>表</w:t>
            </w:r>
            <w:r>
              <w:rPr>
                <w:rFonts w:hint="eastAsia"/>
                <w:b/>
                <w:bCs/>
                <w:color w:val="000000"/>
                <w:sz w:val="24"/>
                <w:szCs w:val="24"/>
              </w:rPr>
              <w:t xml:space="preserve">4-6 </w:t>
            </w:r>
            <w:r>
              <w:rPr>
                <w:b/>
                <w:bCs/>
                <w:sz w:val="24"/>
                <w:szCs w:val="24"/>
              </w:rPr>
              <w:t>非正常状况下废气污染物排放情况一览表</w:t>
            </w:r>
          </w:p>
          <w:tbl>
            <w:tblPr>
              <w:tblStyle w:val="2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392"/>
              <w:gridCol w:w="3865"/>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9" w:type="dxa"/>
                  <w:noWrap/>
                  <w:vAlign w:val="center"/>
                </w:tcPr>
                <w:p>
                  <w:pPr>
                    <w:jc w:val="center"/>
                    <w:rPr>
                      <w:b/>
                      <w:bCs/>
                      <w:szCs w:val="21"/>
                    </w:rPr>
                  </w:pPr>
                  <w:r>
                    <w:rPr>
                      <w:rFonts w:hint="eastAsia"/>
                      <w:b/>
                      <w:bCs/>
                      <w:szCs w:val="21"/>
                    </w:rPr>
                    <w:t>污染源</w:t>
                  </w:r>
                </w:p>
              </w:tc>
              <w:tc>
                <w:tcPr>
                  <w:tcW w:w="1392" w:type="dxa"/>
                  <w:noWrap/>
                  <w:vAlign w:val="center"/>
                </w:tcPr>
                <w:p>
                  <w:pPr>
                    <w:jc w:val="center"/>
                    <w:rPr>
                      <w:b/>
                      <w:bCs/>
                      <w:szCs w:val="21"/>
                    </w:rPr>
                  </w:pPr>
                  <w:r>
                    <w:rPr>
                      <w:rFonts w:hint="eastAsia"/>
                      <w:b/>
                      <w:bCs/>
                      <w:szCs w:val="21"/>
                    </w:rPr>
                    <w:t>污染物</w:t>
                  </w:r>
                </w:p>
              </w:tc>
              <w:tc>
                <w:tcPr>
                  <w:tcW w:w="3865" w:type="dxa"/>
                  <w:noWrap/>
                  <w:vAlign w:val="center"/>
                </w:tcPr>
                <w:p>
                  <w:pPr>
                    <w:jc w:val="center"/>
                    <w:rPr>
                      <w:b/>
                      <w:bCs/>
                      <w:szCs w:val="21"/>
                    </w:rPr>
                  </w:pPr>
                  <w:r>
                    <w:rPr>
                      <w:rFonts w:hint="eastAsia"/>
                      <w:b/>
                      <w:bCs/>
                      <w:szCs w:val="21"/>
                    </w:rPr>
                    <w:t>事故状态下废气处理设施净化效</w:t>
                  </w:r>
                </w:p>
                <w:p>
                  <w:pPr>
                    <w:jc w:val="center"/>
                    <w:rPr>
                      <w:b/>
                      <w:bCs/>
                      <w:szCs w:val="21"/>
                    </w:rPr>
                  </w:pPr>
                  <w:r>
                    <w:rPr>
                      <w:rFonts w:hint="eastAsia"/>
                      <w:b/>
                      <w:bCs/>
                      <w:szCs w:val="21"/>
                    </w:rPr>
                    <w:t xml:space="preserve">率为 </w:t>
                  </w:r>
                  <w:r>
                    <w:rPr>
                      <w:b/>
                      <w:bCs/>
                      <w:szCs w:val="21"/>
                    </w:rPr>
                    <w:t>0</w:t>
                  </w:r>
                  <w:r>
                    <w:rPr>
                      <w:rFonts w:hint="eastAsia"/>
                      <w:b/>
                      <w:bCs/>
                      <w:szCs w:val="21"/>
                    </w:rPr>
                    <w:t>%的排放速率</w:t>
                  </w:r>
                </w:p>
              </w:tc>
              <w:tc>
                <w:tcPr>
                  <w:tcW w:w="1522" w:type="dxa"/>
                  <w:noWrap/>
                  <w:vAlign w:val="center"/>
                </w:tcPr>
                <w:p>
                  <w:pPr>
                    <w:jc w:val="center"/>
                    <w:rPr>
                      <w:b/>
                      <w:bCs/>
                      <w:szCs w:val="21"/>
                    </w:rPr>
                  </w:pPr>
                  <w:r>
                    <w:rPr>
                      <w:rFonts w:hint="eastAsia"/>
                      <w:b/>
                      <w:bCs/>
                      <w:szCs w:val="21"/>
                    </w:rPr>
                    <w:t>环评要求的排放限值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159" w:type="dxa"/>
                  <w:noWrap/>
                  <w:vAlign w:val="center"/>
                </w:tcPr>
                <w:p>
                  <w:pPr>
                    <w:jc w:val="center"/>
                    <w:rPr>
                      <w:szCs w:val="21"/>
                    </w:rPr>
                  </w:pPr>
                  <w:r>
                    <w:rPr>
                      <w:rFonts w:hint="eastAsia"/>
                      <w:szCs w:val="21"/>
                    </w:rPr>
                    <w:t>注塑工序</w:t>
                  </w:r>
                </w:p>
              </w:tc>
              <w:tc>
                <w:tcPr>
                  <w:tcW w:w="1392" w:type="dxa"/>
                  <w:noWrap/>
                  <w:vAlign w:val="center"/>
                </w:tcPr>
                <w:p>
                  <w:pPr>
                    <w:jc w:val="center"/>
                    <w:rPr>
                      <w:szCs w:val="21"/>
                    </w:rPr>
                  </w:pPr>
                  <w:r>
                    <w:rPr>
                      <w:rFonts w:hint="eastAsia"/>
                      <w:szCs w:val="21"/>
                    </w:rPr>
                    <w:t>非甲烷总烃</w:t>
                  </w:r>
                </w:p>
              </w:tc>
              <w:tc>
                <w:tcPr>
                  <w:tcW w:w="3865" w:type="dxa"/>
                  <w:noWrap/>
                  <w:vAlign w:val="center"/>
                </w:tcPr>
                <w:p>
                  <w:pPr>
                    <w:jc w:val="center"/>
                    <w:rPr>
                      <w:szCs w:val="21"/>
                    </w:rPr>
                  </w:pPr>
                  <w:r>
                    <w:rPr>
                      <w:rFonts w:hint="eastAsia"/>
                      <w:szCs w:val="21"/>
                    </w:rPr>
                    <w:t>0.41kg/h</w:t>
                  </w:r>
                </w:p>
              </w:tc>
              <w:tc>
                <w:tcPr>
                  <w:tcW w:w="1522" w:type="dxa"/>
                  <w:noWrap/>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159" w:type="dxa"/>
                  <w:noWrap/>
                  <w:vAlign w:val="center"/>
                </w:tcPr>
                <w:p>
                  <w:pPr>
                    <w:jc w:val="center"/>
                    <w:rPr>
                      <w:szCs w:val="21"/>
                    </w:rPr>
                  </w:pPr>
                  <w:r>
                    <w:rPr>
                      <w:rFonts w:hint="eastAsia"/>
                      <w:szCs w:val="21"/>
                    </w:rPr>
                    <w:t>破碎粉尘</w:t>
                  </w:r>
                </w:p>
              </w:tc>
              <w:tc>
                <w:tcPr>
                  <w:tcW w:w="1392" w:type="dxa"/>
                  <w:noWrap/>
                  <w:vAlign w:val="center"/>
                </w:tcPr>
                <w:p>
                  <w:pPr>
                    <w:jc w:val="center"/>
                    <w:rPr>
                      <w:szCs w:val="21"/>
                    </w:rPr>
                  </w:pPr>
                  <w:r>
                    <w:rPr>
                      <w:rFonts w:hint="eastAsia"/>
                      <w:szCs w:val="21"/>
                    </w:rPr>
                    <w:t>颗粒物</w:t>
                  </w:r>
                </w:p>
              </w:tc>
              <w:tc>
                <w:tcPr>
                  <w:tcW w:w="3865" w:type="dxa"/>
                  <w:noWrap/>
                  <w:vAlign w:val="center"/>
                </w:tcPr>
                <w:p>
                  <w:pPr>
                    <w:jc w:val="center"/>
                    <w:rPr>
                      <w:szCs w:val="21"/>
                    </w:rPr>
                  </w:pPr>
                  <w:r>
                    <w:rPr>
                      <w:rFonts w:hint="eastAsia"/>
                      <w:szCs w:val="21"/>
                    </w:rPr>
                    <w:t>1.875kg/h</w:t>
                  </w:r>
                </w:p>
              </w:tc>
              <w:tc>
                <w:tcPr>
                  <w:tcW w:w="1522" w:type="dxa"/>
                  <w:noWrap/>
                  <w:vAlign w:val="center"/>
                </w:tcPr>
                <w:p>
                  <w:pPr>
                    <w:jc w:val="center"/>
                    <w:rPr>
                      <w:szCs w:val="21"/>
                    </w:rPr>
                  </w:pPr>
                  <w:r>
                    <w:rPr>
                      <w:rFonts w:hint="eastAsia"/>
                      <w:szCs w:val="21"/>
                    </w:rPr>
                    <w:t>/</w:t>
                  </w:r>
                </w:p>
              </w:tc>
            </w:tr>
          </w:tbl>
          <w:p>
            <w:pPr>
              <w:pStyle w:val="46"/>
              <w:snapToGrid w:val="0"/>
              <w:spacing w:line="360" w:lineRule="auto"/>
              <w:ind w:firstLine="480" w:firstLineChars="200"/>
              <w:rPr>
                <w:rFonts w:ascii="宋体" w:hAnsi="宋体" w:cs="宋体"/>
                <w:color w:val="000000"/>
                <w:sz w:val="24"/>
                <w:lang w:eastAsia="zh-CN"/>
              </w:rPr>
            </w:pPr>
            <w:r>
              <w:rPr>
                <w:rFonts w:hint="eastAsia" w:ascii="宋体" w:hAnsi="宋体" w:cs="宋体"/>
                <w:color w:val="000000"/>
                <w:sz w:val="24"/>
                <w:lang w:eastAsia="zh-CN"/>
              </w:rPr>
              <w:t>非正常工况下，项目污染物排放的速率明显增加，但是对周围环境空气质量影响较正常排放时增大。因此建设方必须加强废气处理设施的管理，定期检修，确保废气处理设施正常运行。在废气处理设备停止运行时，产生废气的工序也必须相应停止生产。</w:t>
            </w:r>
          </w:p>
          <w:p>
            <w:pPr>
              <w:pStyle w:val="46"/>
              <w:snapToGrid w:val="0"/>
              <w:spacing w:line="360" w:lineRule="auto"/>
              <w:ind w:firstLine="480" w:firstLineChars="200"/>
              <w:rPr>
                <w:rFonts w:ascii="宋体" w:hAnsi="宋体" w:cs="宋体"/>
                <w:color w:val="000000"/>
                <w:sz w:val="24"/>
                <w:lang w:eastAsia="zh-CN"/>
              </w:rPr>
            </w:pPr>
            <w:r>
              <w:rPr>
                <w:rFonts w:hint="eastAsia" w:ascii="宋体" w:hAnsi="宋体" w:cs="宋体"/>
                <w:color w:val="000000"/>
                <w:sz w:val="24"/>
                <w:lang w:eastAsia="zh-CN"/>
              </w:rPr>
              <w:t>为减少废气非正常排放，应采取以下措施来确保废气达标排放：</w:t>
            </w:r>
          </w:p>
          <w:p>
            <w:pPr>
              <w:pStyle w:val="46"/>
              <w:snapToGrid w:val="0"/>
              <w:spacing w:line="360" w:lineRule="auto"/>
              <w:ind w:firstLine="480" w:firstLineChars="200"/>
              <w:rPr>
                <w:rFonts w:ascii="宋体" w:hAnsi="宋体" w:cs="宋体"/>
                <w:color w:val="000000"/>
                <w:sz w:val="24"/>
                <w:lang w:eastAsia="zh-CN"/>
              </w:rPr>
            </w:pPr>
            <w:r>
              <w:rPr>
                <w:rFonts w:hint="eastAsia" w:ascii="宋体" w:hAnsi="宋体" w:cs="宋体"/>
                <w:color w:val="000000"/>
                <w:sz w:val="24"/>
                <w:lang w:eastAsia="zh-CN"/>
              </w:rPr>
              <w:t>①注意废气处理设施的维护保养，及时发现设备隐患，确保废气处理系统正常运行；</w:t>
            </w:r>
          </w:p>
          <w:p>
            <w:pPr>
              <w:pStyle w:val="46"/>
              <w:snapToGrid w:val="0"/>
              <w:spacing w:line="360" w:lineRule="auto"/>
              <w:ind w:firstLine="480" w:firstLineChars="200"/>
              <w:rPr>
                <w:rFonts w:ascii="宋体" w:hAnsi="宋体" w:cs="宋体"/>
                <w:color w:val="000000"/>
                <w:sz w:val="24"/>
                <w:lang w:eastAsia="zh-CN"/>
              </w:rPr>
            </w:pPr>
            <w:r>
              <w:rPr>
                <w:rFonts w:hint="eastAsia" w:ascii="宋体" w:hAnsi="宋体" w:cs="宋体"/>
                <w:color w:val="000000"/>
                <w:sz w:val="24"/>
                <w:lang w:eastAsia="zh-CN"/>
              </w:rPr>
              <w:t>②建立健全的环保管理机构，对环保管理人员和技术人员进行岗位培训。安排专人负责环保设备的日常维护和管理，每隔固定时间检查、汇报情况。</w:t>
            </w:r>
          </w:p>
          <w:p>
            <w:pPr>
              <w:pStyle w:val="46"/>
              <w:snapToGrid w:val="0"/>
              <w:spacing w:line="360" w:lineRule="auto"/>
              <w:ind w:firstLine="480" w:firstLineChars="200"/>
              <w:rPr>
                <w:rFonts w:ascii="宋体" w:hAnsi="宋体" w:cs="宋体"/>
                <w:color w:val="000000"/>
                <w:sz w:val="24"/>
                <w:lang w:eastAsia="zh-CN"/>
              </w:rPr>
            </w:pPr>
            <w:r>
              <w:rPr>
                <w:rFonts w:hint="eastAsia" w:ascii="宋体" w:hAnsi="宋体" w:cs="宋体"/>
                <w:color w:val="000000"/>
                <w:sz w:val="24"/>
                <w:lang w:eastAsia="zh-CN"/>
              </w:rPr>
              <w:t>③定期更换活性炭、检查废气装置以保持废气处理装置的净化能力和净化容量；</w:t>
            </w:r>
          </w:p>
          <w:p>
            <w:pPr>
              <w:pStyle w:val="46"/>
              <w:snapToGrid w:val="0"/>
              <w:spacing w:line="360" w:lineRule="auto"/>
              <w:ind w:firstLine="480" w:firstLineChars="200"/>
              <w:rPr>
                <w:rFonts w:ascii="宋体" w:hAnsi="宋体" w:cs="宋体"/>
                <w:color w:val="000000"/>
                <w:sz w:val="24"/>
                <w:lang w:eastAsia="zh-CN"/>
              </w:rPr>
            </w:pPr>
            <w:r>
              <w:rPr>
                <w:rFonts w:hint="eastAsia" w:ascii="宋体" w:hAnsi="宋体" w:cs="宋体"/>
                <w:color w:val="000000"/>
                <w:sz w:val="24"/>
                <w:lang w:eastAsia="zh-CN"/>
              </w:rPr>
              <w:t>④进一步加强对废气处理装置的监管，记录各排气筒进出口风量、温度，记录活性炭更换再生周期、更换量，并建立活性炭更换台账。</w:t>
            </w:r>
          </w:p>
          <w:p>
            <w:pPr>
              <w:pStyle w:val="46"/>
              <w:snapToGrid w:val="0"/>
              <w:spacing w:line="360" w:lineRule="auto"/>
              <w:ind w:firstLine="482" w:firstLineChars="200"/>
              <w:rPr>
                <w:b/>
                <w:bCs/>
                <w:sz w:val="24"/>
                <w:lang w:eastAsia="zh-CN"/>
              </w:rPr>
            </w:pPr>
            <w:r>
              <w:rPr>
                <w:rFonts w:hint="eastAsia"/>
                <w:b/>
                <w:bCs/>
                <w:sz w:val="24"/>
                <w:lang w:eastAsia="zh-CN"/>
              </w:rPr>
              <w:t>7</w:t>
            </w:r>
            <w:r>
              <w:rPr>
                <w:b/>
                <w:bCs/>
                <w:sz w:val="24"/>
                <w:lang w:eastAsia="zh-CN"/>
              </w:rPr>
              <w:t>、废气</w:t>
            </w:r>
            <w:r>
              <w:rPr>
                <w:rFonts w:hint="eastAsia"/>
                <w:b/>
                <w:bCs/>
                <w:sz w:val="24"/>
                <w:lang w:eastAsia="zh-CN"/>
              </w:rPr>
              <w:t>影响结论</w:t>
            </w:r>
          </w:p>
          <w:p>
            <w:pPr>
              <w:spacing w:line="360" w:lineRule="auto"/>
              <w:ind w:firstLine="480" w:firstLineChars="200"/>
              <w:jc w:val="left"/>
              <w:rPr>
                <w:sz w:val="24"/>
              </w:rPr>
            </w:pPr>
            <w:r>
              <w:rPr>
                <w:sz w:val="24"/>
              </w:rPr>
              <w:t>本项目位于环境质量不达标区，</w:t>
            </w:r>
            <w:r>
              <w:rPr>
                <w:rFonts w:hint="eastAsia"/>
                <w:sz w:val="24"/>
              </w:rPr>
              <w:t>本项目</w:t>
            </w:r>
            <w:r>
              <w:rPr>
                <w:sz w:val="24"/>
              </w:rPr>
              <w:t>厂界周边 500m 范围内无自然保护区、风景名胜区保护目标</w:t>
            </w:r>
            <w:r>
              <w:rPr>
                <w:rFonts w:hint="eastAsia"/>
                <w:sz w:val="24"/>
              </w:rPr>
              <w:t>、</w:t>
            </w:r>
            <w:r>
              <w:rPr>
                <w:sz w:val="24"/>
              </w:rPr>
              <w:t>居住区和农村地区中人群较集中的区域等</w:t>
            </w:r>
            <w:r>
              <w:rPr>
                <w:rFonts w:hint="eastAsia"/>
                <w:sz w:val="24"/>
              </w:rPr>
              <w:t>环境保护目标。</w:t>
            </w:r>
            <w:r>
              <w:rPr>
                <w:sz w:val="24"/>
              </w:rPr>
              <w:t>正常工况下，排放的大气污染物贡献值较小，</w:t>
            </w:r>
            <w:r>
              <w:rPr>
                <w:rFonts w:hint="eastAsia"/>
                <w:sz w:val="24"/>
              </w:rPr>
              <w:t>项目有机废气经集气罩收集+二级活性炭吸附处理，破碎粉尘经集气罩收集+布袋除尘器处理后能够达标排放，</w:t>
            </w:r>
            <w:r>
              <w:rPr>
                <w:sz w:val="24"/>
              </w:rPr>
              <w:t>对周围环境影响较小。</w:t>
            </w:r>
          </w:p>
          <w:p>
            <w:pPr>
              <w:spacing w:line="360" w:lineRule="auto"/>
              <w:ind w:firstLine="480" w:firstLineChars="200"/>
              <w:jc w:val="left"/>
              <w:rPr>
                <w:sz w:val="24"/>
              </w:rPr>
            </w:pPr>
            <w:r>
              <w:rPr>
                <w:sz w:val="24"/>
              </w:rPr>
              <w:t>因此，项目正常情况排放的大气污染物对大气环境影响可接受，项目大气污染物排放方案可行。</w:t>
            </w:r>
          </w:p>
          <w:p>
            <w:pPr>
              <w:pStyle w:val="46"/>
              <w:snapToGrid w:val="0"/>
              <w:spacing w:line="360" w:lineRule="auto"/>
              <w:ind w:firstLine="482" w:firstLineChars="200"/>
              <w:rPr>
                <w:b/>
                <w:bCs/>
                <w:sz w:val="24"/>
                <w:lang w:eastAsia="zh-CN"/>
              </w:rPr>
            </w:pPr>
            <w:r>
              <w:rPr>
                <w:rFonts w:hint="eastAsia"/>
                <w:b/>
                <w:bCs/>
                <w:sz w:val="24"/>
                <w:lang w:eastAsia="zh-CN"/>
              </w:rPr>
              <w:t>二、废水</w:t>
            </w:r>
          </w:p>
          <w:p>
            <w:pPr>
              <w:pStyle w:val="46"/>
              <w:snapToGrid w:val="0"/>
              <w:spacing w:line="360" w:lineRule="auto"/>
              <w:ind w:firstLine="480" w:firstLineChars="200"/>
              <w:rPr>
                <w:sz w:val="24"/>
                <w:lang w:eastAsia="zh-CN"/>
              </w:rPr>
            </w:pPr>
            <w:r>
              <w:rPr>
                <w:sz w:val="24"/>
                <w:lang w:eastAsia="zh-CN"/>
              </w:rPr>
              <w:t>本项目营运期用水主要</w:t>
            </w:r>
            <w:r>
              <w:rPr>
                <w:rFonts w:hint="eastAsia"/>
                <w:sz w:val="24"/>
                <w:lang w:eastAsia="zh-CN"/>
              </w:rPr>
              <w:t>为生活用水和生产用水</w:t>
            </w:r>
            <w:r>
              <w:rPr>
                <w:sz w:val="24"/>
                <w:lang w:eastAsia="zh-CN"/>
              </w:rPr>
              <w:t>。</w:t>
            </w:r>
          </w:p>
          <w:p>
            <w:pPr>
              <w:pStyle w:val="46"/>
              <w:snapToGrid w:val="0"/>
              <w:spacing w:line="360" w:lineRule="auto"/>
              <w:ind w:firstLine="482" w:firstLineChars="200"/>
              <w:rPr>
                <w:sz w:val="24"/>
                <w:lang w:eastAsia="zh-CN"/>
              </w:rPr>
            </w:pPr>
            <w:r>
              <w:rPr>
                <w:rFonts w:hint="eastAsia"/>
                <w:b/>
                <w:bCs/>
                <w:sz w:val="24"/>
                <w:lang w:eastAsia="zh-CN"/>
              </w:rPr>
              <w:t>1、废水源强核算过程</w:t>
            </w:r>
          </w:p>
          <w:p>
            <w:pPr>
              <w:pStyle w:val="46"/>
              <w:snapToGrid w:val="0"/>
              <w:spacing w:line="360" w:lineRule="auto"/>
              <w:ind w:firstLine="480" w:firstLineChars="200"/>
              <w:rPr>
                <w:sz w:val="24"/>
                <w:lang w:eastAsia="zh-CN"/>
              </w:rPr>
            </w:pPr>
            <w:r>
              <w:rPr>
                <w:rFonts w:hint="eastAsia"/>
                <w:sz w:val="24"/>
                <w:lang w:eastAsia="zh-CN"/>
              </w:rPr>
              <w:t>（1）生活用水：</w:t>
            </w:r>
            <w:r>
              <w:rPr>
                <w:sz w:val="24"/>
                <w:lang w:eastAsia="zh-CN"/>
              </w:rPr>
              <w:t>项目</w:t>
            </w:r>
            <w:r>
              <w:rPr>
                <w:rFonts w:hint="eastAsia"/>
                <w:sz w:val="24"/>
                <w:lang w:eastAsia="zh-CN"/>
              </w:rPr>
              <w:t>新增员工200</w:t>
            </w:r>
            <w:r>
              <w:rPr>
                <w:sz w:val="24"/>
                <w:lang w:eastAsia="zh-CN"/>
              </w:rPr>
              <w:t>人，厂区内无住宿，根据《建筑给水排水设计规范（2009 年版）（GB50015-2003），在班职工生活用水以</w:t>
            </w:r>
            <w:r>
              <w:rPr>
                <w:rFonts w:hint="eastAsia"/>
                <w:sz w:val="24"/>
                <w:lang w:eastAsia="zh-CN"/>
              </w:rPr>
              <w:t>5</w:t>
            </w:r>
            <w:r>
              <w:rPr>
                <w:sz w:val="24"/>
                <w:lang w:eastAsia="zh-CN"/>
              </w:rPr>
              <w:t>0L/（人·d）计，年工作日300天。则生活用水量为</w:t>
            </w:r>
            <w:r>
              <w:rPr>
                <w:rFonts w:hint="eastAsia"/>
                <w:sz w:val="24"/>
                <w:lang w:eastAsia="zh-CN"/>
              </w:rPr>
              <w:t>3000</w:t>
            </w:r>
            <w:r>
              <w:rPr>
                <w:sz w:val="24"/>
                <w:lang w:eastAsia="zh-CN"/>
              </w:rPr>
              <w:t>m</w:t>
            </w:r>
            <w:r>
              <w:rPr>
                <w:sz w:val="24"/>
                <w:vertAlign w:val="superscript"/>
                <w:lang w:eastAsia="zh-CN"/>
              </w:rPr>
              <w:t>3</w:t>
            </w:r>
            <w:r>
              <w:rPr>
                <w:sz w:val="24"/>
                <w:lang w:eastAsia="zh-CN"/>
              </w:rPr>
              <w:t>/a（</w:t>
            </w:r>
            <w:r>
              <w:rPr>
                <w:rFonts w:hint="eastAsia"/>
                <w:sz w:val="24"/>
                <w:lang w:eastAsia="zh-CN"/>
              </w:rPr>
              <w:t>10</w:t>
            </w:r>
            <w:r>
              <w:rPr>
                <w:sz w:val="24"/>
                <w:lang w:eastAsia="zh-CN"/>
              </w:rPr>
              <w:t>m</w:t>
            </w:r>
            <w:r>
              <w:rPr>
                <w:sz w:val="24"/>
                <w:vertAlign w:val="superscript"/>
                <w:lang w:eastAsia="zh-CN"/>
              </w:rPr>
              <w:t>3</w:t>
            </w:r>
            <w:r>
              <w:rPr>
                <w:sz w:val="24"/>
                <w:lang w:eastAsia="zh-CN"/>
              </w:rPr>
              <w:t>/d）。生活污水排污系数以0.8计，则生活污水排放量为</w:t>
            </w:r>
            <w:r>
              <w:rPr>
                <w:rFonts w:hint="eastAsia"/>
                <w:sz w:val="24"/>
                <w:lang w:eastAsia="zh-CN"/>
              </w:rPr>
              <w:t>2400</w:t>
            </w:r>
            <w:r>
              <w:rPr>
                <w:sz w:val="24"/>
                <w:lang w:eastAsia="zh-CN"/>
              </w:rPr>
              <w:t>m</w:t>
            </w:r>
            <w:r>
              <w:rPr>
                <w:sz w:val="24"/>
                <w:vertAlign w:val="superscript"/>
                <w:lang w:eastAsia="zh-CN"/>
              </w:rPr>
              <w:t>3</w:t>
            </w:r>
            <w:r>
              <w:rPr>
                <w:sz w:val="24"/>
                <w:lang w:eastAsia="zh-CN"/>
              </w:rPr>
              <w:t>/a（</w:t>
            </w:r>
            <w:r>
              <w:rPr>
                <w:rFonts w:hint="eastAsia"/>
                <w:sz w:val="24"/>
                <w:lang w:eastAsia="zh-CN"/>
              </w:rPr>
              <w:t>8</w:t>
            </w:r>
            <w:r>
              <w:rPr>
                <w:sz w:val="24"/>
                <w:lang w:eastAsia="zh-CN"/>
              </w:rPr>
              <w:t>m</w:t>
            </w:r>
            <w:r>
              <w:rPr>
                <w:sz w:val="24"/>
                <w:vertAlign w:val="superscript"/>
                <w:lang w:eastAsia="zh-CN"/>
              </w:rPr>
              <w:t>3</w:t>
            </w:r>
            <w:r>
              <w:rPr>
                <w:sz w:val="24"/>
                <w:lang w:eastAsia="zh-CN"/>
              </w:rPr>
              <w:t>/d）。</w:t>
            </w:r>
          </w:p>
          <w:p>
            <w:pPr>
              <w:pStyle w:val="46"/>
              <w:snapToGrid w:val="0"/>
              <w:spacing w:line="360" w:lineRule="auto"/>
              <w:ind w:firstLine="480" w:firstLineChars="200"/>
              <w:rPr>
                <w:sz w:val="24"/>
                <w:lang w:eastAsia="zh-CN"/>
              </w:rPr>
            </w:pPr>
            <w:r>
              <w:rPr>
                <w:rFonts w:hint="eastAsia"/>
                <w:sz w:val="24"/>
                <w:lang w:eastAsia="zh-CN"/>
              </w:rPr>
              <w:t>（2）生产用水</w:t>
            </w:r>
          </w:p>
          <w:p>
            <w:pPr>
              <w:pStyle w:val="46"/>
              <w:snapToGrid w:val="0"/>
              <w:spacing w:line="360" w:lineRule="auto"/>
              <w:ind w:firstLine="480" w:firstLineChars="200"/>
              <w:rPr>
                <w:sz w:val="24"/>
                <w:lang w:eastAsia="zh-CN"/>
              </w:rPr>
            </w:pPr>
            <w:r>
              <w:rPr>
                <w:rFonts w:hint="eastAsia"/>
                <w:sz w:val="24"/>
                <w:lang w:eastAsia="zh-CN"/>
              </w:rPr>
              <w:t>①原料清洗用水：根据建设单位提供材料知，项目芝麻需进行简单清洗，清洗水量约为200m</w:t>
            </w:r>
            <w:r>
              <w:rPr>
                <w:rFonts w:hint="eastAsia"/>
                <w:sz w:val="24"/>
                <w:vertAlign w:val="superscript"/>
                <w:lang w:eastAsia="zh-CN"/>
              </w:rPr>
              <w:t>3</w:t>
            </w:r>
            <w:r>
              <w:rPr>
                <w:rFonts w:hint="eastAsia"/>
                <w:sz w:val="24"/>
                <w:lang w:eastAsia="zh-CN"/>
              </w:rPr>
              <w:t>/a，原料清洗废水产生系数按0.8计，则废水产生量为160m</w:t>
            </w:r>
            <w:r>
              <w:rPr>
                <w:rFonts w:hint="eastAsia"/>
                <w:sz w:val="24"/>
                <w:vertAlign w:val="superscript"/>
                <w:lang w:eastAsia="zh-CN"/>
              </w:rPr>
              <w:t>3</w:t>
            </w:r>
            <w:r>
              <w:rPr>
                <w:rFonts w:hint="eastAsia"/>
                <w:sz w:val="24"/>
                <w:lang w:eastAsia="zh-CN"/>
              </w:rPr>
              <w:t>/a。</w:t>
            </w:r>
          </w:p>
          <w:p>
            <w:pPr>
              <w:pStyle w:val="46"/>
              <w:snapToGrid w:val="0"/>
              <w:spacing w:line="360" w:lineRule="auto"/>
              <w:ind w:firstLine="480" w:firstLineChars="200"/>
              <w:rPr>
                <w:sz w:val="24"/>
                <w:lang w:eastAsia="zh-CN"/>
              </w:rPr>
            </w:pPr>
            <w:r>
              <w:rPr>
                <w:rFonts w:hint="eastAsia"/>
                <w:sz w:val="24"/>
                <w:lang w:eastAsia="zh-CN"/>
              </w:rPr>
              <w:t>②设备清洗用水、地面冲洗用水：本项目设备需每天进行清洗，根据现有项目验收数据知，设备清洗废水量为4.5m</w:t>
            </w:r>
            <w:r>
              <w:rPr>
                <w:rFonts w:hint="eastAsia"/>
                <w:sz w:val="24"/>
                <w:vertAlign w:val="superscript"/>
                <w:lang w:eastAsia="zh-CN"/>
              </w:rPr>
              <w:t>3</w:t>
            </w:r>
            <w:r>
              <w:rPr>
                <w:rFonts w:hint="eastAsia"/>
                <w:sz w:val="24"/>
                <w:lang w:eastAsia="zh-CN"/>
              </w:rPr>
              <w:t>/d，地面冲洗废水量为4.3m</w:t>
            </w:r>
            <w:r>
              <w:rPr>
                <w:rFonts w:hint="eastAsia"/>
                <w:sz w:val="24"/>
                <w:vertAlign w:val="superscript"/>
                <w:lang w:eastAsia="zh-CN"/>
              </w:rPr>
              <w:t>3</w:t>
            </w:r>
            <w:r>
              <w:rPr>
                <w:rFonts w:hint="eastAsia"/>
                <w:sz w:val="24"/>
                <w:lang w:eastAsia="zh-CN"/>
              </w:rPr>
              <w:t>/d，废水产生系数按0.9计，则设备清洗用水量为5m</w:t>
            </w:r>
            <w:r>
              <w:rPr>
                <w:rFonts w:hint="eastAsia"/>
                <w:sz w:val="24"/>
                <w:vertAlign w:val="superscript"/>
                <w:lang w:eastAsia="zh-CN"/>
              </w:rPr>
              <w:t>3</w:t>
            </w:r>
            <w:r>
              <w:rPr>
                <w:rFonts w:hint="eastAsia"/>
                <w:sz w:val="24"/>
                <w:lang w:eastAsia="zh-CN"/>
              </w:rPr>
              <w:t>/d、地面冲洗用水为4.8m</w:t>
            </w:r>
            <w:r>
              <w:rPr>
                <w:rFonts w:hint="eastAsia"/>
                <w:sz w:val="24"/>
                <w:vertAlign w:val="superscript"/>
                <w:lang w:eastAsia="zh-CN"/>
              </w:rPr>
              <w:t>3</w:t>
            </w:r>
            <w:r>
              <w:rPr>
                <w:rFonts w:hint="eastAsia"/>
                <w:sz w:val="24"/>
                <w:lang w:eastAsia="zh-CN"/>
              </w:rPr>
              <w:t>/d。</w:t>
            </w:r>
          </w:p>
          <w:p>
            <w:pPr>
              <w:pStyle w:val="46"/>
              <w:snapToGrid w:val="0"/>
              <w:spacing w:line="360" w:lineRule="auto"/>
              <w:ind w:firstLine="480" w:firstLineChars="200"/>
              <w:jc w:val="both"/>
              <w:rPr>
                <w:b/>
                <w:bCs/>
                <w:sz w:val="24"/>
                <w:lang w:eastAsia="zh-CN"/>
              </w:rPr>
            </w:pPr>
            <w:r>
              <w:rPr>
                <w:rFonts w:hint="eastAsia"/>
                <w:sz w:val="24"/>
                <w:lang w:eastAsia="zh-CN"/>
              </w:rPr>
              <w:t>③熬糖浆用水、煮料用水：熬糖浆过程糖水比例约2:1，白砂糖用量为40t，则熬糖用水量为20m</w:t>
            </w:r>
            <w:r>
              <w:rPr>
                <w:rFonts w:hint="eastAsia"/>
                <w:sz w:val="24"/>
                <w:vertAlign w:val="superscript"/>
                <w:lang w:eastAsia="zh-CN"/>
              </w:rPr>
              <w:t>3</w:t>
            </w:r>
            <w:r>
              <w:rPr>
                <w:rFonts w:hint="eastAsia"/>
                <w:sz w:val="24"/>
                <w:lang w:eastAsia="zh-CN"/>
              </w:rPr>
              <w:t>/a，约90%蒸发，其余水分进入产品；煮料工序原料和水的比例约1:5，原味海苔生产中原料用量为680t，则用水量为3400m</w:t>
            </w:r>
            <w:r>
              <w:rPr>
                <w:rFonts w:hint="eastAsia"/>
                <w:sz w:val="24"/>
                <w:vertAlign w:val="superscript"/>
                <w:lang w:eastAsia="zh-CN"/>
              </w:rPr>
              <w:t>3</w:t>
            </w:r>
            <w:r>
              <w:rPr>
                <w:rFonts w:hint="eastAsia"/>
                <w:sz w:val="24"/>
                <w:lang w:eastAsia="zh-CN"/>
              </w:rPr>
              <w:t>/a，产污系数按0.8计，则煮料废水产生量为2720m</w:t>
            </w:r>
            <w:r>
              <w:rPr>
                <w:rFonts w:hint="eastAsia"/>
                <w:sz w:val="24"/>
                <w:vertAlign w:val="superscript"/>
                <w:lang w:eastAsia="zh-CN"/>
              </w:rPr>
              <w:t>3</w:t>
            </w:r>
            <w:r>
              <w:rPr>
                <w:rFonts w:hint="eastAsia"/>
                <w:sz w:val="24"/>
                <w:lang w:eastAsia="zh-CN"/>
              </w:rPr>
              <w:t>/a。</w:t>
            </w:r>
          </w:p>
          <w:p>
            <w:pPr>
              <w:pStyle w:val="46"/>
              <w:snapToGrid w:val="0"/>
              <w:spacing w:line="360" w:lineRule="auto"/>
              <w:ind w:firstLine="482" w:firstLineChars="200"/>
              <w:jc w:val="center"/>
              <w:rPr>
                <w:b/>
                <w:bCs/>
                <w:sz w:val="24"/>
                <w:lang w:eastAsia="zh-CN"/>
              </w:rPr>
            </w:pPr>
            <w:r>
              <w:rPr>
                <w:b/>
                <w:bCs/>
                <w:sz w:val="24"/>
                <w:lang w:eastAsia="zh-CN"/>
              </w:rPr>
              <w:t>表</w:t>
            </w:r>
            <w:r>
              <w:rPr>
                <w:rFonts w:hint="eastAsia"/>
                <w:b/>
                <w:bCs/>
                <w:sz w:val="24"/>
                <w:lang w:eastAsia="zh-CN"/>
              </w:rPr>
              <w:t xml:space="preserve">4-7 </w:t>
            </w:r>
            <w:r>
              <w:rPr>
                <w:b/>
                <w:bCs/>
                <w:sz w:val="24"/>
                <w:lang w:eastAsia="zh-CN"/>
              </w:rPr>
              <w:t xml:space="preserve"> 项目用排水情况一览表</w:t>
            </w:r>
          </w:p>
          <w:tbl>
            <w:tblPr>
              <w:tblStyle w:val="22"/>
              <w:tblW w:w="7938" w:type="dxa"/>
              <w:jc w:val="center"/>
              <w:tblLayout w:type="fixed"/>
              <w:tblCellMar>
                <w:top w:w="15" w:type="dxa"/>
                <w:left w:w="15" w:type="dxa"/>
                <w:bottom w:w="15" w:type="dxa"/>
                <w:right w:w="15" w:type="dxa"/>
              </w:tblCellMar>
            </w:tblPr>
            <w:tblGrid>
              <w:gridCol w:w="1455"/>
              <w:gridCol w:w="1217"/>
              <w:gridCol w:w="1322"/>
              <w:gridCol w:w="1112"/>
              <w:gridCol w:w="1487"/>
              <w:gridCol w:w="1345"/>
            </w:tblGrid>
            <w:tr>
              <w:trPr>
                <w:trHeight w:val="286" w:hRule="atLeast"/>
                <w:jc w:val="center"/>
              </w:trPr>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Cs w:val="21"/>
                    </w:rPr>
                  </w:pPr>
                  <w:r>
                    <w:rPr>
                      <w:b/>
                      <w:bCs/>
                      <w:kern w:val="0"/>
                      <w:szCs w:val="21"/>
                    </w:rPr>
                    <w:t>用水项目</w:t>
                  </w:r>
                </w:p>
              </w:tc>
              <w:tc>
                <w:tcPr>
                  <w:tcW w:w="1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Cs w:val="21"/>
                    </w:rPr>
                  </w:pPr>
                  <w:r>
                    <w:rPr>
                      <w:b/>
                      <w:bCs/>
                      <w:kern w:val="0"/>
                      <w:szCs w:val="21"/>
                    </w:rPr>
                    <w:t>用水量标准</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Cs w:val="21"/>
                    </w:rPr>
                  </w:pPr>
                  <w:r>
                    <w:rPr>
                      <w:b/>
                      <w:bCs/>
                      <w:kern w:val="0"/>
                      <w:szCs w:val="21"/>
                    </w:rPr>
                    <w:t>规模</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kern w:val="0"/>
                      <w:szCs w:val="21"/>
                    </w:rPr>
                  </w:pPr>
                  <w:r>
                    <w:rPr>
                      <w:rFonts w:hint="eastAsia"/>
                      <w:b/>
                      <w:bCs/>
                      <w:kern w:val="0"/>
                      <w:szCs w:val="21"/>
                    </w:rPr>
                    <w:t>日</w:t>
                  </w:r>
                  <w:r>
                    <w:rPr>
                      <w:b/>
                      <w:bCs/>
                      <w:kern w:val="0"/>
                      <w:szCs w:val="21"/>
                    </w:rPr>
                    <w:t>用水量（m</w:t>
                  </w:r>
                  <w:r>
                    <w:rPr>
                      <w:b/>
                      <w:bCs/>
                      <w:kern w:val="0"/>
                      <w:szCs w:val="21"/>
                      <w:vertAlign w:val="superscript"/>
                    </w:rPr>
                    <w:t>3</w:t>
                  </w:r>
                  <w:r>
                    <w:rPr>
                      <w:b/>
                      <w:bCs/>
                      <w:kern w:val="0"/>
                      <w:szCs w:val="21"/>
                    </w:rPr>
                    <w:t>/d）</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kern w:val="0"/>
                      <w:szCs w:val="21"/>
                    </w:rPr>
                  </w:pPr>
                  <w:r>
                    <w:rPr>
                      <w:rFonts w:hint="eastAsia"/>
                      <w:b/>
                      <w:bCs/>
                      <w:kern w:val="0"/>
                      <w:szCs w:val="21"/>
                    </w:rPr>
                    <w:t>年</w:t>
                  </w:r>
                  <w:r>
                    <w:rPr>
                      <w:b/>
                      <w:bCs/>
                      <w:kern w:val="0"/>
                      <w:szCs w:val="21"/>
                    </w:rPr>
                    <w:t>用水</w:t>
                  </w:r>
                  <w:r>
                    <w:rPr>
                      <w:rFonts w:hint="eastAsia"/>
                      <w:b/>
                      <w:bCs/>
                      <w:kern w:val="0"/>
                      <w:szCs w:val="21"/>
                    </w:rPr>
                    <w:t>量</w:t>
                  </w:r>
                  <w:r>
                    <w:rPr>
                      <w:b/>
                      <w:bCs/>
                      <w:kern w:val="0"/>
                      <w:szCs w:val="21"/>
                    </w:rPr>
                    <w:t>（m</w:t>
                  </w:r>
                  <w:r>
                    <w:rPr>
                      <w:b/>
                      <w:bCs/>
                      <w:kern w:val="0"/>
                      <w:szCs w:val="21"/>
                      <w:vertAlign w:val="superscript"/>
                    </w:rPr>
                    <w:t>3</w:t>
                  </w:r>
                  <w:r>
                    <w:rPr>
                      <w:b/>
                      <w:bCs/>
                      <w:kern w:val="0"/>
                      <w:szCs w:val="21"/>
                    </w:rPr>
                    <w:t>/</w:t>
                  </w:r>
                  <w:r>
                    <w:rPr>
                      <w:rFonts w:hint="eastAsia"/>
                      <w:b/>
                      <w:bCs/>
                      <w:kern w:val="0"/>
                      <w:szCs w:val="21"/>
                    </w:rPr>
                    <w:t>a</w:t>
                  </w:r>
                  <w:r>
                    <w:rPr>
                      <w:b/>
                      <w:bCs/>
                      <w:kern w:val="0"/>
                      <w:szCs w:val="21"/>
                    </w:rPr>
                    <w:t>）</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kern w:val="0"/>
                      <w:szCs w:val="21"/>
                    </w:rPr>
                  </w:pPr>
                  <w:r>
                    <w:rPr>
                      <w:b/>
                      <w:bCs/>
                      <w:kern w:val="0"/>
                      <w:szCs w:val="21"/>
                    </w:rPr>
                    <w:t>排水量（m</w:t>
                  </w:r>
                  <w:r>
                    <w:rPr>
                      <w:b/>
                      <w:bCs/>
                      <w:kern w:val="0"/>
                      <w:szCs w:val="21"/>
                      <w:vertAlign w:val="superscript"/>
                    </w:rPr>
                    <w:t>3</w:t>
                  </w:r>
                  <w:r>
                    <w:rPr>
                      <w:b/>
                      <w:bCs/>
                      <w:kern w:val="0"/>
                      <w:szCs w:val="21"/>
                    </w:rPr>
                    <w:t>/d）</w:t>
                  </w:r>
                </w:p>
              </w:tc>
            </w:tr>
            <w:tr>
              <w:tblPrEx>
                <w:tblCellMar>
                  <w:top w:w="15" w:type="dxa"/>
                  <w:left w:w="15" w:type="dxa"/>
                  <w:bottom w:w="15" w:type="dxa"/>
                  <w:right w:w="15" w:type="dxa"/>
                </w:tblCellMar>
              </w:tblPrEx>
              <w:trPr>
                <w:trHeight w:val="286" w:hRule="atLeast"/>
                <w:jc w:val="center"/>
              </w:trPr>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生活用水</w:t>
                  </w:r>
                </w:p>
              </w:tc>
              <w:tc>
                <w:tcPr>
                  <w:tcW w:w="1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Cs w:val="21"/>
                    </w:rPr>
                  </w:pPr>
                  <w:r>
                    <w:rPr>
                      <w:rFonts w:hint="eastAsia"/>
                      <w:kern w:val="0"/>
                      <w:szCs w:val="21"/>
                    </w:rPr>
                    <w:t>5</w:t>
                  </w:r>
                  <w:r>
                    <w:rPr>
                      <w:kern w:val="0"/>
                      <w:szCs w:val="21"/>
                    </w:rPr>
                    <w:t>0L/（人·d）</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Cs w:val="21"/>
                    </w:rPr>
                  </w:pPr>
                  <w:r>
                    <w:rPr>
                      <w:rFonts w:hint="eastAsia"/>
                      <w:kern w:val="0"/>
                      <w:szCs w:val="21"/>
                    </w:rPr>
                    <w:t>2</w:t>
                  </w:r>
                  <w:r>
                    <w:rPr>
                      <w:kern w:val="0"/>
                      <w:szCs w:val="21"/>
                    </w:rPr>
                    <w:t>0</w:t>
                  </w:r>
                  <w:r>
                    <w:rPr>
                      <w:rFonts w:hint="eastAsia"/>
                      <w:kern w:val="0"/>
                      <w:szCs w:val="21"/>
                    </w:rPr>
                    <w:t>0</w:t>
                  </w:r>
                  <w:r>
                    <w:rPr>
                      <w:kern w:val="0"/>
                      <w:szCs w:val="21"/>
                    </w:rPr>
                    <w:t>人，300天</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 w:val="22"/>
                      <w:szCs w:val="22"/>
                    </w:rPr>
                  </w:pPr>
                  <w:r>
                    <w:rPr>
                      <w:rFonts w:hint="eastAsia"/>
                      <w:kern w:val="0"/>
                      <w:sz w:val="22"/>
                      <w:szCs w:val="22"/>
                    </w:rPr>
                    <w:t>10</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 w:val="22"/>
                      <w:szCs w:val="22"/>
                    </w:rPr>
                  </w:pPr>
                  <w:r>
                    <w:rPr>
                      <w:rFonts w:hint="eastAsia"/>
                      <w:kern w:val="0"/>
                      <w:sz w:val="22"/>
                      <w:szCs w:val="22"/>
                    </w:rPr>
                    <w:t>3000</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kern w:val="0"/>
                      <w:sz w:val="22"/>
                      <w:szCs w:val="22"/>
                    </w:rPr>
                  </w:pPr>
                  <w:r>
                    <w:rPr>
                      <w:rFonts w:hint="eastAsia"/>
                      <w:kern w:val="0"/>
                      <w:sz w:val="22"/>
                      <w:szCs w:val="22"/>
                    </w:rPr>
                    <w:t>2400</w:t>
                  </w:r>
                </w:p>
              </w:tc>
            </w:tr>
            <w:tr>
              <w:tblPrEx>
                <w:tblCellMar>
                  <w:top w:w="15" w:type="dxa"/>
                  <w:left w:w="15" w:type="dxa"/>
                  <w:bottom w:w="15" w:type="dxa"/>
                  <w:right w:w="15" w:type="dxa"/>
                </w:tblCellMar>
              </w:tblPrEx>
              <w:trPr>
                <w:trHeight w:val="286" w:hRule="atLeast"/>
                <w:jc w:val="center"/>
              </w:trPr>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原料清洗用水</w:t>
                  </w:r>
                </w:p>
              </w:tc>
              <w:tc>
                <w:tcPr>
                  <w:tcW w:w="1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0.67</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200</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160</w:t>
                  </w:r>
                </w:p>
              </w:tc>
            </w:tr>
            <w:tr>
              <w:trPr>
                <w:trHeight w:val="286" w:hRule="atLeast"/>
                <w:jc w:val="center"/>
              </w:trPr>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设备清洗用水</w:t>
                  </w:r>
                </w:p>
              </w:tc>
              <w:tc>
                <w:tcPr>
                  <w:tcW w:w="1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5</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1500</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1350</w:t>
                  </w:r>
                </w:p>
              </w:tc>
            </w:tr>
            <w:tr>
              <w:trPr>
                <w:trHeight w:val="286" w:hRule="atLeast"/>
                <w:jc w:val="center"/>
              </w:trPr>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地面冲洗用水</w:t>
                  </w:r>
                </w:p>
              </w:tc>
              <w:tc>
                <w:tcPr>
                  <w:tcW w:w="1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4.8</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1440</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1290</w:t>
                  </w:r>
                </w:p>
              </w:tc>
            </w:tr>
            <w:tr>
              <w:trPr>
                <w:trHeight w:val="286" w:hRule="atLeast"/>
                <w:jc w:val="center"/>
              </w:trPr>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熬糖浆用水</w:t>
                  </w:r>
                </w:p>
              </w:tc>
              <w:tc>
                <w:tcPr>
                  <w:tcW w:w="1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0.07</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20</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0</w:t>
                  </w:r>
                </w:p>
              </w:tc>
            </w:tr>
            <w:tr>
              <w:trPr>
                <w:trHeight w:val="286" w:hRule="atLeast"/>
                <w:jc w:val="center"/>
              </w:trPr>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煮料用水</w:t>
                  </w:r>
                </w:p>
              </w:tc>
              <w:tc>
                <w:tcPr>
                  <w:tcW w:w="1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11.33</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3400</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2720</w:t>
                  </w:r>
                </w:p>
              </w:tc>
            </w:tr>
            <w:tr>
              <w:trPr>
                <w:trHeight w:val="286" w:hRule="atLeast"/>
                <w:jc w:val="center"/>
              </w:trPr>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kern w:val="0"/>
                      <w:szCs w:val="21"/>
                    </w:rPr>
                    <w:t>合计</w:t>
                  </w: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w:t>
                  </w:r>
                </w:p>
              </w:tc>
              <w:tc>
                <w:tcPr>
                  <w:tcW w:w="132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31.87</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9560</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Cs w:val="21"/>
                    </w:rPr>
                  </w:pPr>
                  <w:r>
                    <w:rPr>
                      <w:rFonts w:hint="eastAsia"/>
                      <w:szCs w:val="21"/>
                    </w:rPr>
                    <w:t>7920</w:t>
                  </w:r>
                </w:p>
              </w:tc>
            </w:tr>
          </w:tbl>
          <w:p>
            <w:pPr>
              <w:pStyle w:val="46"/>
              <w:snapToGrid w:val="0"/>
              <w:spacing w:before="120" w:beforeLines="50" w:line="360" w:lineRule="auto"/>
              <w:ind w:firstLine="480" w:firstLineChars="200"/>
              <w:rPr>
                <w:sz w:val="24"/>
                <w:lang w:eastAsia="zh-CN"/>
              </w:rPr>
            </w:pPr>
            <w:r>
              <w:rPr>
                <w:sz w:val="24"/>
                <w:lang w:eastAsia="zh-CN"/>
              </w:rPr>
              <w:t>综上，项目</w:t>
            </w:r>
            <w:r>
              <w:rPr>
                <w:rFonts w:hint="eastAsia"/>
                <w:sz w:val="24"/>
                <w:lang w:eastAsia="zh-CN"/>
              </w:rPr>
              <w:t>生活</w:t>
            </w:r>
            <w:r>
              <w:rPr>
                <w:sz w:val="24"/>
                <w:lang w:eastAsia="zh-CN"/>
              </w:rPr>
              <w:t>废水排放量为</w:t>
            </w:r>
            <w:r>
              <w:rPr>
                <w:rFonts w:hint="eastAsia"/>
                <w:sz w:val="24"/>
                <w:lang w:eastAsia="zh-CN"/>
              </w:rPr>
              <w:t>2400</w:t>
            </w:r>
            <w:r>
              <w:rPr>
                <w:sz w:val="24"/>
                <w:lang w:eastAsia="zh-CN"/>
              </w:rPr>
              <w:t>m</w:t>
            </w:r>
            <w:r>
              <w:rPr>
                <w:sz w:val="24"/>
                <w:vertAlign w:val="superscript"/>
                <w:lang w:eastAsia="zh-CN"/>
              </w:rPr>
              <w:t>3</w:t>
            </w:r>
            <w:r>
              <w:rPr>
                <w:sz w:val="24"/>
                <w:lang w:eastAsia="zh-CN"/>
              </w:rPr>
              <w:t>/a</w:t>
            </w:r>
            <w:r>
              <w:rPr>
                <w:rFonts w:hint="eastAsia"/>
                <w:sz w:val="24"/>
                <w:lang w:eastAsia="zh-CN"/>
              </w:rPr>
              <w:t>（8</w:t>
            </w:r>
            <w:r>
              <w:rPr>
                <w:sz w:val="24"/>
                <w:lang w:eastAsia="zh-CN"/>
              </w:rPr>
              <w:t>m</w:t>
            </w:r>
            <w:r>
              <w:rPr>
                <w:sz w:val="24"/>
                <w:vertAlign w:val="superscript"/>
                <w:lang w:eastAsia="zh-CN"/>
              </w:rPr>
              <w:t>3</w:t>
            </w:r>
            <w:r>
              <w:rPr>
                <w:sz w:val="24"/>
                <w:lang w:eastAsia="zh-CN"/>
              </w:rPr>
              <w:t>/</w:t>
            </w:r>
            <w:r>
              <w:rPr>
                <w:rFonts w:hint="eastAsia"/>
                <w:sz w:val="24"/>
                <w:lang w:eastAsia="zh-CN"/>
              </w:rPr>
              <w:t>d），生产废水排放量为5520</w:t>
            </w:r>
            <w:r>
              <w:rPr>
                <w:sz w:val="24"/>
                <w:lang w:eastAsia="zh-CN"/>
              </w:rPr>
              <w:t>m</w:t>
            </w:r>
            <w:r>
              <w:rPr>
                <w:sz w:val="24"/>
                <w:vertAlign w:val="superscript"/>
                <w:lang w:eastAsia="zh-CN"/>
              </w:rPr>
              <w:t>3</w:t>
            </w:r>
            <w:r>
              <w:rPr>
                <w:sz w:val="24"/>
                <w:lang w:eastAsia="zh-CN"/>
              </w:rPr>
              <w:t>/a</w:t>
            </w:r>
            <w:r>
              <w:rPr>
                <w:rFonts w:hint="eastAsia"/>
                <w:sz w:val="24"/>
                <w:lang w:eastAsia="zh-CN"/>
              </w:rPr>
              <w:t>（18.4</w:t>
            </w:r>
            <w:r>
              <w:rPr>
                <w:sz w:val="24"/>
                <w:lang w:eastAsia="zh-CN"/>
              </w:rPr>
              <w:t>m</w:t>
            </w:r>
            <w:r>
              <w:rPr>
                <w:sz w:val="24"/>
                <w:vertAlign w:val="superscript"/>
                <w:lang w:eastAsia="zh-CN"/>
              </w:rPr>
              <w:t>3</w:t>
            </w:r>
            <w:r>
              <w:rPr>
                <w:sz w:val="24"/>
                <w:lang w:eastAsia="zh-CN"/>
              </w:rPr>
              <w:t>/</w:t>
            </w:r>
            <w:r>
              <w:rPr>
                <w:rFonts w:hint="eastAsia"/>
                <w:sz w:val="24"/>
                <w:lang w:eastAsia="zh-CN"/>
              </w:rPr>
              <w:t>d）</w:t>
            </w:r>
            <w:r>
              <w:rPr>
                <w:sz w:val="24"/>
                <w:lang w:eastAsia="zh-CN"/>
              </w:rPr>
              <w:t>。</w:t>
            </w:r>
          </w:p>
          <w:p>
            <w:pPr>
              <w:pStyle w:val="46"/>
              <w:snapToGrid w:val="0"/>
              <w:spacing w:line="360" w:lineRule="auto"/>
              <w:ind w:firstLine="480" w:firstLineChars="200"/>
              <w:rPr>
                <w:sz w:val="24"/>
                <w:lang w:eastAsia="zh-CN"/>
              </w:rPr>
            </w:pPr>
            <w:r>
              <w:rPr>
                <w:rFonts w:hint="eastAsia"/>
                <w:sz w:val="24"/>
                <w:lang w:eastAsia="zh-CN"/>
              </w:rPr>
              <w:t>根据现有项目验收数据，污水处理设施污染物悬浮物、COD、氨氮、总氮、总磷、BOD</w:t>
            </w:r>
            <w:r>
              <w:rPr>
                <w:rFonts w:hint="eastAsia"/>
                <w:sz w:val="24"/>
                <w:vertAlign w:val="subscript"/>
                <w:lang w:eastAsia="zh-CN"/>
              </w:rPr>
              <w:t>5</w:t>
            </w:r>
            <w:r>
              <w:rPr>
                <w:rFonts w:hint="eastAsia"/>
                <w:sz w:val="24"/>
                <w:lang w:eastAsia="zh-CN"/>
              </w:rPr>
              <w:t>、动植物油的平均去除率分别为 78.2%、49.1%、86.7%、30.2%、48.8%、58.8%、64.1%。</w:t>
            </w:r>
            <w:r>
              <w:rPr>
                <w:sz w:val="24"/>
                <w:lang w:eastAsia="zh-CN"/>
              </w:rPr>
              <w:t>本项目污水产生及排放情况见下表。</w:t>
            </w:r>
          </w:p>
          <w:p>
            <w:pPr>
              <w:adjustRightInd w:val="0"/>
              <w:snapToGrid w:val="0"/>
              <w:spacing w:line="360" w:lineRule="auto"/>
              <w:jc w:val="center"/>
              <w:rPr>
                <w:b/>
                <w:bCs/>
                <w:sz w:val="24"/>
              </w:rPr>
            </w:pPr>
            <w:r>
              <w:rPr>
                <w:b/>
                <w:bCs/>
                <w:sz w:val="24"/>
              </w:rPr>
              <w:t>表</w:t>
            </w:r>
            <w:r>
              <w:rPr>
                <w:rFonts w:hint="eastAsia"/>
                <w:b/>
                <w:bCs/>
                <w:sz w:val="24"/>
              </w:rPr>
              <w:t xml:space="preserve">4-8  </w:t>
            </w:r>
            <w:r>
              <w:rPr>
                <w:b/>
                <w:bCs/>
                <w:sz w:val="24"/>
              </w:rPr>
              <w:t>废水产生源强及排放状况</w:t>
            </w:r>
          </w:p>
          <w:tbl>
            <w:tblPr>
              <w:tblStyle w:val="22"/>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96"/>
              <w:gridCol w:w="937"/>
              <w:gridCol w:w="987"/>
              <w:gridCol w:w="962"/>
              <w:gridCol w:w="1350"/>
              <w:gridCol w:w="588"/>
              <w:gridCol w:w="911"/>
              <w:gridCol w:w="788"/>
              <w:gridCol w:w="8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06" w:hRule="atLeast"/>
                <w:jc w:val="center"/>
              </w:trPr>
              <w:tc>
                <w:tcPr>
                  <w:tcW w:w="484" w:type="pct"/>
                  <w:vMerge w:val="restart"/>
                  <w:tcBorders>
                    <w:tl2br w:val="nil"/>
                    <w:tr2bl w:val="nil"/>
                  </w:tcBorders>
                  <w:vAlign w:val="center"/>
                </w:tcPr>
                <w:p>
                  <w:pPr>
                    <w:pStyle w:val="68"/>
                    <w:rPr>
                      <w:b/>
                      <w:bCs w:val="0"/>
                      <w:color w:val="auto"/>
                    </w:rPr>
                  </w:pPr>
                  <w:r>
                    <w:rPr>
                      <w:b/>
                      <w:bCs w:val="0"/>
                      <w:color w:val="auto"/>
                    </w:rPr>
                    <w:t>污水类型</w:t>
                  </w:r>
                </w:p>
              </w:tc>
              <w:tc>
                <w:tcPr>
                  <w:tcW w:w="570" w:type="pct"/>
                  <w:vMerge w:val="restart"/>
                  <w:tcBorders>
                    <w:tl2br w:val="nil"/>
                    <w:tr2bl w:val="nil"/>
                  </w:tcBorders>
                  <w:vAlign w:val="center"/>
                </w:tcPr>
                <w:p>
                  <w:pPr>
                    <w:pStyle w:val="68"/>
                    <w:rPr>
                      <w:b/>
                      <w:bCs w:val="0"/>
                      <w:color w:val="auto"/>
                    </w:rPr>
                  </w:pPr>
                  <w:r>
                    <w:rPr>
                      <w:b/>
                      <w:bCs w:val="0"/>
                      <w:color w:val="auto"/>
                    </w:rPr>
                    <w:t>污染物名称</w:t>
                  </w:r>
                </w:p>
              </w:tc>
              <w:tc>
                <w:tcPr>
                  <w:tcW w:w="1187" w:type="pct"/>
                  <w:gridSpan w:val="2"/>
                  <w:tcBorders>
                    <w:tl2br w:val="nil"/>
                    <w:tr2bl w:val="nil"/>
                  </w:tcBorders>
                  <w:vAlign w:val="center"/>
                </w:tcPr>
                <w:p>
                  <w:pPr>
                    <w:pStyle w:val="68"/>
                    <w:rPr>
                      <w:b/>
                      <w:bCs w:val="0"/>
                      <w:color w:val="auto"/>
                    </w:rPr>
                  </w:pPr>
                  <w:r>
                    <w:rPr>
                      <w:b/>
                      <w:bCs w:val="0"/>
                      <w:color w:val="auto"/>
                    </w:rPr>
                    <w:t>产生状况</w:t>
                  </w:r>
                </w:p>
              </w:tc>
              <w:tc>
                <w:tcPr>
                  <w:tcW w:w="822" w:type="pct"/>
                  <w:vMerge w:val="restart"/>
                  <w:tcBorders>
                    <w:tl2br w:val="nil"/>
                    <w:tr2bl w:val="nil"/>
                  </w:tcBorders>
                  <w:vAlign w:val="center"/>
                </w:tcPr>
                <w:p>
                  <w:pPr>
                    <w:pStyle w:val="68"/>
                    <w:rPr>
                      <w:b/>
                      <w:bCs w:val="0"/>
                      <w:color w:val="auto"/>
                    </w:rPr>
                  </w:pPr>
                  <w:r>
                    <w:rPr>
                      <w:b/>
                      <w:bCs w:val="0"/>
                      <w:color w:val="auto"/>
                    </w:rPr>
                    <w:t>治理措施</w:t>
                  </w:r>
                </w:p>
              </w:tc>
              <w:tc>
                <w:tcPr>
                  <w:tcW w:w="358" w:type="pct"/>
                  <w:vMerge w:val="restart"/>
                  <w:tcBorders>
                    <w:tl2br w:val="nil"/>
                    <w:tr2bl w:val="nil"/>
                  </w:tcBorders>
                  <w:vAlign w:val="center"/>
                </w:tcPr>
                <w:p>
                  <w:pPr>
                    <w:pStyle w:val="68"/>
                    <w:rPr>
                      <w:b/>
                      <w:bCs w:val="0"/>
                      <w:color w:val="auto"/>
                    </w:rPr>
                  </w:pPr>
                  <w:r>
                    <w:rPr>
                      <w:b/>
                      <w:bCs w:val="0"/>
                      <w:color w:val="auto"/>
                    </w:rPr>
                    <w:t>去除率</w:t>
                  </w:r>
                </w:p>
                <w:p>
                  <w:pPr>
                    <w:pStyle w:val="68"/>
                    <w:rPr>
                      <w:b/>
                      <w:bCs w:val="0"/>
                      <w:color w:val="auto"/>
                    </w:rPr>
                  </w:pPr>
                </w:p>
              </w:tc>
              <w:tc>
                <w:tcPr>
                  <w:tcW w:w="1035" w:type="pct"/>
                  <w:gridSpan w:val="2"/>
                  <w:tcBorders>
                    <w:tl2br w:val="nil"/>
                    <w:tr2bl w:val="nil"/>
                  </w:tcBorders>
                  <w:vAlign w:val="center"/>
                </w:tcPr>
                <w:p>
                  <w:pPr>
                    <w:pStyle w:val="68"/>
                    <w:rPr>
                      <w:b/>
                      <w:bCs w:val="0"/>
                      <w:color w:val="auto"/>
                    </w:rPr>
                  </w:pPr>
                  <w:r>
                    <w:rPr>
                      <w:b/>
                      <w:bCs w:val="0"/>
                      <w:color w:val="auto"/>
                    </w:rPr>
                    <w:t>排放状况</w:t>
                  </w:r>
                </w:p>
              </w:tc>
              <w:tc>
                <w:tcPr>
                  <w:tcW w:w="542" w:type="pct"/>
                  <w:vMerge w:val="restart"/>
                  <w:tcBorders>
                    <w:tl2br w:val="nil"/>
                    <w:tr2bl w:val="nil"/>
                  </w:tcBorders>
                  <w:vAlign w:val="center"/>
                </w:tcPr>
                <w:p>
                  <w:pPr>
                    <w:pStyle w:val="68"/>
                    <w:rPr>
                      <w:b/>
                      <w:bCs w:val="0"/>
                      <w:color w:val="auto"/>
                    </w:rPr>
                  </w:pPr>
                  <w:r>
                    <w:rPr>
                      <w:b/>
                      <w:bCs w:val="0"/>
                      <w:color w:val="auto"/>
                    </w:rPr>
                    <w:t>排放方式及去向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06" w:hRule="atLeast"/>
                <w:jc w:val="center"/>
              </w:trPr>
              <w:tc>
                <w:tcPr>
                  <w:tcW w:w="484" w:type="pct"/>
                  <w:vMerge w:val="continue"/>
                  <w:tcBorders>
                    <w:tl2br w:val="nil"/>
                    <w:tr2bl w:val="nil"/>
                  </w:tcBorders>
                  <w:vAlign w:val="center"/>
                </w:tcPr>
                <w:p>
                  <w:pPr>
                    <w:pStyle w:val="68"/>
                    <w:rPr>
                      <w:color w:val="auto"/>
                    </w:rPr>
                  </w:pPr>
                </w:p>
              </w:tc>
              <w:tc>
                <w:tcPr>
                  <w:tcW w:w="570" w:type="pct"/>
                  <w:vMerge w:val="continue"/>
                  <w:tcBorders>
                    <w:tl2br w:val="nil"/>
                    <w:tr2bl w:val="nil"/>
                  </w:tcBorders>
                  <w:vAlign w:val="center"/>
                </w:tcPr>
                <w:p>
                  <w:pPr>
                    <w:pStyle w:val="68"/>
                    <w:rPr>
                      <w:color w:val="auto"/>
                    </w:rPr>
                  </w:pPr>
                </w:p>
              </w:tc>
              <w:tc>
                <w:tcPr>
                  <w:tcW w:w="601" w:type="pct"/>
                  <w:tcBorders>
                    <w:tl2br w:val="nil"/>
                    <w:tr2bl w:val="nil"/>
                  </w:tcBorders>
                  <w:tcMar>
                    <w:left w:w="28" w:type="dxa"/>
                    <w:right w:w="28" w:type="dxa"/>
                  </w:tcMar>
                  <w:vAlign w:val="center"/>
                </w:tcPr>
                <w:p>
                  <w:pPr>
                    <w:pStyle w:val="68"/>
                    <w:rPr>
                      <w:b/>
                      <w:bCs w:val="0"/>
                      <w:color w:val="auto"/>
                    </w:rPr>
                  </w:pPr>
                  <w:r>
                    <w:rPr>
                      <w:b/>
                      <w:bCs w:val="0"/>
                      <w:color w:val="auto"/>
                    </w:rPr>
                    <w:t>产生浓度（mg/L）</w:t>
                  </w:r>
                </w:p>
              </w:tc>
              <w:tc>
                <w:tcPr>
                  <w:tcW w:w="585" w:type="pct"/>
                  <w:tcBorders>
                    <w:tl2br w:val="nil"/>
                    <w:tr2bl w:val="nil"/>
                  </w:tcBorders>
                  <w:tcMar>
                    <w:left w:w="28" w:type="dxa"/>
                    <w:right w:w="28" w:type="dxa"/>
                  </w:tcMar>
                  <w:vAlign w:val="center"/>
                </w:tcPr>
                <w:p>
                  <w:pPr>
                    <w:pStyle w:val="68"/>
                    <w:rPr>
                      <w:b/>
                      <w:bCs w:val="0"/>
                      <w:color w:val="auto"/>
                    </w:rPr>
                  </w:pPr>
                  <w:r>
                    <w:rPr>
                      <w:b/>
                      <w:bCs w:val="0"/>
                      <w:color w:val="auto"/>
                    </w:rPr>
                    <w:t>产生量（t/a）</w:t>
                  </w:r>
                </w:p>
              </w:tc>
              <w:tc>
                <w:tcPr>
                  <w:tcW w:w="822" w:type="pct"/>
                  <w:vMerge w:val="continue"/>
                  <w:tcBorders>
                    <w:tl2br w:val="nil"/>
                    <w:tr2bl w:val="nil"/>
                  </w:tcBorders>
                  <w:vAlign w:val="center"/>
                </w:tcPr>
                <w:p>
                  <w:pPr>
                    <w:pStyle w:val="68"/>
                    <w:rPr>
                      <w:b/>
                      <w:bCs w:val="0"/>
                      <w:color w:val="auto"/>
                    </w:rPr>
                  </w:pPr>
                </w:p>
              </w:tc>
              <w:tc>
                <w:tcPr>
                  <w:tcW w:w="358" w:type="pct"/>
                  <w:vMerge w:val="continue"/>
                  <w:tcBorders>
                    <w:tl2br w:val="nil"/>
                    <w:tr2bl w:val="nil"/>
                  </w:tcBorders>
                  <w:vAlign w:val="center"/>
                </w:tcPr>
                <w:p>
                  <w:pPr>
                    <w:pStyle w:val="68"/>
                    <w:rPr>
                      <w:b/>
                      <w:bCs w:val="0"/>
                      <w:color w:val="auto"/>
                    </w:rPr>
                  </w:pPr>
                </w:p>
              </w:tc>
              <w:tc>
                <w:tcPr>
                  <w:tcW w:w="555" w:type="pct"/>
                  <w:tcBorders>
                    <w:tl2br w:val="nil"/>
                    <w:tr2bl w:val="nil"/>
                  </w:tcBorders>
                  <w:vAlign w:val="center"/>
                </w:tcPr>
                <w:p>
                  <w:pPr>
                    <w:pStyle w:val="68"/>
                    <w:rPr>
                      <w:b/>
                      <w:bCs w:val="0"/>
                      <w:color w:val="auto"/>
                    </w:rPr>
                  </w:pPr>
                  <w:r>
                    <w:rPr>
                      <w:b/>
                      <w:bCs w:val="0"/>
                      <w:color w:val="auto"/>
                    </w:rPr>
                    <w:t>排放浓度</w:t>
                  </w:r>
                </w:p>
                <w:p>
                  <w:pPr>
                    <w:pStyle w:val="68"/>
                    <w:rPr>
                      <w:b/>
                      <w:bCs w:val="0"/>
                      <w:color w:val="auto"/>
                    </w:rPr>
                  </w:pPr>
                  <w:r>
                    <w:rPr>
                      <w:b/>
                      <w:bCs w:val="0"/>
                      <w:color w:val="auto"/>
                    </w:rPr>
                    <w:t>（mg/L）</w:t>
                  </w:r>
                </w:p>
              </w:tc>
              <w:tc>
                <w:tcPr>
                  <w:tcW w:w="479" w:type="pct"/>
                  <w:tcBorders>
                    <w:tl2br w:val="nil"/>
                    <w:tr2bl w:val="nil"/>
                  </w:tcBorders>
                  <w:vAlign w:val="center"/>
                </w:tcPr>
                <w:p>
                  <w:pPr>
                    <w:pStyle w:val="68"/>
                    <w:rPr>
                      <w:b/>
                      <w:bCs w:val="0"/>
                      <w:color w:val="auto"/>
                    </w:rPr>
                  </w:pPr>
                  <w:r>
                    <w:rPr>
                      <w:b/>
                      <w:bCs w:val="0"/>
                      <w:color w:val="auto"/>
                    </w:rPr>
                    <w:t>排放量（t/a）</w:t>
                  </w:r>
                </w:p>
              </w:tc>
              <w:tc>
                <w:tcPr>
                  <w:tcW w:w="542"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23" w:hRule="atLeast"/>
                <w:jc w:val="center"/>
              </w:trPr>
              <w:tc>
                <w:tcPr>
                  <w:tcW w:w="484" w:type="pct"/>
                  <w:vMerge w:val="restart"/>
                  <w:tcBorders>
                    <w:tl2br w:val="nil"/>
                    <w:tr2bl w:val="nil"/>
                  </w:tcBorders>
                  <w:vAlign w:val="center"/>
                </w:tcPr>
                <w:p>
                  <w:pPr>
                    <w:pStyle w:val="68"/>
                    <w:rPr>
                      <w:color w:val="auto"/>
                    </w:rPr>
                  </w:pPr>
                  <w:r>
                    <w:rPr>
                      <w:rFonts w:hint="eastAsia"/>
                      <w:color w:val="auto"/>
                    </w:rPr>
                    <w:t>生产</w:t>
                  </w:r>
                </w:p>
                <w:p>
                  <w:pPr>
                    <w:pStyle w:val="68"/>
                    <w:rPr>
                      <w:color w:val="auto"/>
                    </w:rPr>
                  </w:pPr>
                  <w:r>
                    <w:rPr>
                      <w:rFonts w:hint="eastAsia"/>
                      <w:color w:val="auto"/>
                    </w:rPr>
                    <w:t>废水5520m</w:t>
                  </w:r>
                  <w:r>
                    <w:rPr>
                      <w:rFonts w:hint="eastAsia"/>
                      <w:color w:val="auto"/>
                      <w:vertAlign w:val="superscript"/>
                    </w:rPr>
                    <w:t>3</w:t>
                  </w:r>
                  <w:r>
                    <w:rPr>
                      <w:rFonts w:hint="eastAsia"/>
                      <w:color w:val="auto"/>
                    </w:rPr>
                    <w:t>/a</w:t>
                  </w:r>
                </w:p>
              </w:tc>
              <w:tc>
                <w:tcPr>
                  <w:tcW w:w="570" w:type="pct"/>
                  <w:tcBorders>
                    <w:tl2br w:val="nil"/>
                    <w:tr2bl w:val="nil"/>
                  </w:tcBorders>
                  <w:tcMar>
                    <w:left w:w="28" w:type="dxa"/>
                    <w:right w:w="28" w:type="dxa"/>
                  </w:tcMar>
                  <w:vAlign w:val="center"/>
                </w:tcPr>
                <w:p>
                  <w:pPr>
                    <w:pStyle w:val="68"/>
                    <w:rPr>
                      <w:color w:val="auto"/>
                    </w:rPr>
                  </w:pPr>
                  <w:r>
                    <w:rPr>
                      <w:color w:val="auto"/>
                    </w:rPr>
                    <w:t>COD</w:t>
                  </w:r>
                </w:p>
              </w:tc>
              <w:tc>
                <w:tcPr>
                  <w:tcW w:w="601" w:type="pct"/>
                  <w:tcBorders>
                    <w:tl2br w:val="nil"/>
                    <w:tr2bl w:val="nil"/>
                  </w:tcBorders>
                  <w:vAlign w:val="center"/>
                </w:tcPr>
                <w:p>
                  <w:pPr>
                    <w:pStyle w:val="68"/>
                    <w:rPr>
                      <w:color w:val="auto"/>
                    </w:rPr>
                  </w:pPr>
                  <w:r>
                    <w:rPr>
                      <w:rFonts w:hint="eastAsia"/>
                      <w:color w:val="auto"/>
                    </w:rPr>
                    <w:t>88.4</w:t>
                  </w:r>
                </w:p>
              </w:tc>
              <w:tc>
                <w:tcPr>
                  <w:tcW w:w="585" w:type="pct"/>
                  <w:tcBorders>
                    <w:tl2br w:val="nil"/>
                    <w:tr2bl w:val="nil"/>
                  </w:tcBorders>
                  <w:vAlign w:val="center"/>
                </w:tcPr>
                <w:p>
                  <w:pPr>
                    <w:pStyle w:val="68"/>
                    <w:rPr>
                      <w:color w:val="auto"/>
                    </w:rPr>
                  </w:pPr>
                  <w:r>
                    <w:rPr>
                      <w:rFonts w:hint="eastAsia"/>
                      <w:color w:val="auto"/>
                    </w:rPr>
                    <w:t>0.488</w:t>
                  </w:r>
                </w:p>
              </w:tc>
              <w:tc>
                <w:tcPr>
                  <w:tcW w:w="822" w:type="pct"/>
                  <w:vMerge w:val="restart"/>
                  <w:tcBorders>
                    <w:tl2br w:val="nil"/>
                    <w:tr2bl w:val="nil"/>
                  </w:tcBorders>
                  <w:vAlign w:val="center"/>
                </w:tcPr>
                <w:p>
                  <w:pPr>
                    <w:pStyle w:val="68"/>
                    <w:rPr>
                      <w:color w:val="auto"/>
                    </w:rPr>
                  </w:pPr>
                  <w:r>
                    <w:rPr>
                      <w:color w:val="auto"/>
                      <w:kern w:val="0"/>
                    </w:rPr>
                    <w:t>厂区污水站“</w:t>
                  </w:r>
                  <w:r>
                    <w:rPr>
                      <w:rFonts w:hint="eastAsia"/>
                      <w:color w:val="auto"/>
                      <w:kern w:val="0"/>
                    </w:rPr>
                    <w:t>调节+气浮+水解酸化+接触氧化+二沉池</w:t>
                  </w:r>
                  <w:r>
                    <w:rPr>
                      <w:color w:val="auto"/>
                      <w:kern w:val="0"/>
                    </w:rPr>
                    <w:t>”</w:t>
                  </w:r>
                </w:p>
              </w:tc>
              <w:tc>
                <w:tcPr>
                  <w:tcW w:w="358" w:type="pct"/>
                  <w:tcBorders>
                    <w:tl2br w:val="nil"/>
                    <w:tr2bl w:val="nil"/>
                  </w:tcBorders>
                  <w:vAlign w:val="center"/>
                </w:tcPr>
                <w:p>
                  <w:pPr>
                    <w:pStyle w:val="68"/>
                    <w:rPr>
                      <w:color w:val="auto"/>
                    </w:rPr>
                  </w:pPr>
                  <w:r>
                    <w:rPr>
                      <w:rFonts w:hint="eastAsia"/>
                      <w:color w:val="auto"/>
                    </w:rPr>
                    <w:t>49.1%</w:t>
                  </w:r>
                </w:p>
              </w:tc>
              <w:tc>
                <w:tcPr>
                  <w:tcW w:w="555" w:type="pct"/>
                  <w:tcBorders>
                    <w:tl2br w:val="nil"/>
                    <w:tr2bl w:val="nil"/>
                  </w:tcBorders>
                  <w:vAlign w:val="center"/>
                </w:tcPr>
                <w:p>
                  <w:pPr>
                    <w:pStyle w:val="68"/>
                    <w:rPr>
                      <w:color w:val="auto"/>
                    </w:rPr>
                  </w:pPr>
                  <w:r>
                    <w:rPr>
                      <w:rFonts w:hint="eastAsia"/>
                      <w:color w:val="auto"/>
                    </w:rPr>
                    <w:t>45</w:t>
                  </w:r>
                </w:p>
              </w:tc>
              <w:tc>
                <w:tcPr>
                  <w:tcW w:w="479" w:type="pct"/>
                  <w:tcBorders>
                    <w:tl2br w:val="nil"/>
                    <w:tr2bl w:val="nil"/>
                  </w:tcBorders>
                  <w:vAlign w:val="center"/>
                </w:tcPr>
                <w:p>
                  <w:pPr>
                    <w:pStyle w:val="68"/>
                    <w:rPr>
                      <w:color w:val="auto"/>
                    </w:rPr>
                  </w:pPr>
                  <w:r>
                    <w:rPr>
                      <w:rFonts w:hint="eastAsia"/>
                      <w:color w:val="auto"/>
                    </w:rPr>
                    <w:t>0.248</w:t>
                  </w:r>
                </w:p>
              </w:tc>
              <w:tc>
                <w:tcPr>
                  <w:tcW w:w="542" w:type="pct"/>
                  <w:vMerge w:val="restart"/>
                  <w:tcBorders>
                    <w:tl2br w:val="nil"/>
                    <w:tr2bl w:val="nil"/>
                  </w:tcBorders>
                  <w:vAlign w:val="center"/>
                </w:tcPr>
                <w:p>
                  <w:pPr>
                    <w:pStyle w:val="68"/>
                    <w:rPr>
                      <w:color w:val="auto"/>
                    </w:rPr>
                  </w:pPr>
                  <w:r>
                    <w:rPr>
                      <w:rFonts w:hint="eastAsia"/>
                      <w:color w:val="auto"/>
                    </w:rPr>
                    <w:t>滁州第二</w:t>
                  </w:r>
                  <w:r>
                    <w:rPr>
                      <w:color w:val="auto"/>
                    </w:rPr>
                    <w:t>污水处理厂</w:t>
                  </w:r>
                  <w:r>
                    <w:rPr>
                      <w:rFonts w:hint="eastAsia"/>
                      <w:color w:val="auto"/>
                    </w:rPr>
                    <w:t>，尾水排入清流河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59" w:hRule="atLeast"/>
                <w:jc w:val="center"/>
              </w:trPr>
              <w:tc>
                <w:tcPr>
                  <w:tcW w:w="484" w:type="pct"/>
                  <w:vMerge w:val="continue"/>
                  <w:tcBorders>
                    <w:tl2br w:val="nil"/>
                    <w:tr2bl w:val="nil"/>
                  </w:tcBorders>
                  <w:vAlign w:val="center"/>
                </w:tcPr>
                <w:p>
                  <w:pPr>
                    <w:pStyle w:val="68"/>
                    <w:rPr>
                      <w:color w:val="auto"/>
                    </w:rPr>
                  </w:pPr>
                </w:p>
              </w:tc>
              <w:tc>
                <w:tcPr>
                  <w:tcW w:w="570" w:type="pct"/>
                  <w:tcBorders>
                    <w:tl2br w:val="nil"/>
                    <w:tr2bl w:val="nil"/>
                  </w:tcBorders>
                  <w:tcMar>
                    <w:left w:w="28" w:type="dxa"/>
                    <w:right w:w="28" w:type="dxa"/>
                  </w:tcMar>
                  <w:vAlign w:val="center"/>
                </w:tcPr>
                <w:p>
                  <w:pPr>
                    <w:pStyle w:val="68"/>
                    <w:rPr>
                      <w:color w:val="auto"/>
                    </w:rPr>
                  </w:pPr>
                  <w:r>
                    <w:rPr>
                      <w:rFonts w:hint="eastAsia"/>
                      <w:color w:val="auto"/>
                    </w:rPr>
                    <w:t>BOD</w:t>
                  </w:r>
                  <w:r>
                    <w:rPr>
                      <w:rFonts w:hint="eastAsia"/>
                      <w:color w:val="auto"/>
                      <w:vertAlign w:val="subscript"/>
                    </w:rPr>
                    <w:t>5</w:t>
                  </w:r>
                </w:p>
              </w:tc>
              <w:tc>
                <w:tcPr>
                  <w:tcW w:w="601" w:type="pct"/>
                  <w:tcBorders>
                    <w:tl2br w:val="nil"/>
                    <w:tr2bl w:val="nil"/>
                  </w:tcBorders>
                  <w:vAlign w:val="center"/>
                </w:tcPr>
                <w:p>
                  <w:pPr>
                    <w:pStyle w:val="68"/>
                    <w:rPr>
                      <w:color w:val="auto"/>
                    </w:rPr>
                  </w:pPr>
                  <w:r>
                    <w:rPr>
                      <w:rFonts w:hint="eastAsia"/>
                      <w:color w:val="auto"/>
                    </w:rPr>
                    <w:t>26</w:t>
                  </w:r>
                </w:p>
              </w:tc>
              <w:tc>
                <w:tcPr>
                  <w:tcW w:w="585" w:type="pct"/>
                  <w:tcBorders>
                    <w:tl2br w:val="nil"/>
                    <w:tr2bl w:val="nil"/>
                  </w:tcBorders>
                  <w:vAlign w:val="center"/>
                </w:tcPr>
                <w:p>
                  <w:pPr>
                    <w:pStyle w:val="68"/>
                    <w:rPr>
                      <w:color w:val="auto"/>
                    </w:rPr>
                  </w:pPr>
                  <w:r>
                    <w:rPr>
                      <w:rFonts w:hint="eastAsia"/>
                      <w:color w:val="auto"/>
                    </w:rPr>
                    <w:t>0.144</w:t>
                  </w:r>
                </w:p>
              </w:tc>
              <w:tc>
                <w:tcPr>
                  <w:tcW w:w="822" w:type="pct"/>
                  <w:vMerge w:val="continue"/>
                  <w:tcBorders>
                    <w:tl2br w:val="nil"/>
                    <w:tr2bl w:val="nil"/>
                  </w:tcBorders>
                  <w:vAlign w:val="center"/>
                </w:tcPr>
                <w:p>
                  <w:pPr>
                    <w:pStyle w:val="68"/>
                    <w:rPr>
                      <w:color w:val="auto"/>
                    </w:rPr>
                  </w:pPr>
                </w:p>
              </w:tc>
              <w:tc>
                <w:tcPr>
                  <w:tcW w:w="358" w:type="pct"/>
                  <w:tcBorders>
                    <w:tl2br w:val="nil"/>
                    <w:tr2bl w:val="nil"/>
                  </w:tcBorders>
                  <w:vAlign w:val="center"/>
                </w:tcPr>
                <w:p>
                  <w:pPr>
                    <w:pStyle w:val="68"/>
                    <w:rPr>
                      <w:color w:val="auto"/>
                    </w:rPr>
                  </w:pPr>
                  <w:r>
                    <w:rPr>
                      <w:rFonts w:hint="eastAsia"/>
                      <w:color w:val="auto"/>
                    </w:rPr>
                    <w:t>58.8%</w:t>
                  </w:r>
                </w:p>
              </w:tc>
              <w:tc>
                <w:tcPr>
                  <w:tcW w:w="555" w:type="pct"/>
                  <w:tcBorders>
                    <w:tl2br w:val="nil"/>
                    <w:tr2bl w:val="nil"/>
                  </w:tcBorders>
                  <w:vAlign w:val="center"/>
                </w:tcPr>
                <w:p>
                  <w:pPr>
                    <w:pStyle w:val="68"/>
                    <w:rPr>
                      <w:color w:val="auto"/>
                    </w:rPr>
                  </w:pPr>
                  <w:r>
                    <w:rPr>
                      <w:rFonts w:hint="eastAsia"/>
                      <w:color w:val="auto"/>
                    </w:rPr>
                    <w:t>10.7</w:t>
                  </w:r>
                </w:p>
              </w:tc>
              <w:tc>
                <w:tcPr>
                  <w:tcW w:w="479" w:type="pct"/>
                  <w:tcBorders>
                    <w:tl2br w:val="nil"/>
                    <w:tr2bl w:val="nil"/>
                  </w:tcBorders>
                  <w:vAlign w:val="center"/>
                </w:tcPr>
                <w:p>
                  <w:pPr>
                    <w:pStyle w:val="68"/>
                    <w:rPr>
                      <w:color w:val="auto"/>
                    </w:rPr>
                  </w:pPr>
                  <w:r>
                    <w:rPr>
                      <w:rFonts w:hint="eastAsia"/>
                      <w:color w:val="auto"/>
                    </w:rPr>
                    <w:t>0.059</w:t>
                  </w:r>
                </w:p>
              </w:tc>
              <w:tc>
                <w:tcPr>
                  <w:tcW w:w="542"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59" w:hRule="atLeast"/>
                <w:jc w:val="center"/>
              </w:trPr>
              <w:tc>
                <w:tcPr>
                  <w:tcW w:w="484" w:type="pct"/>
                  <w:vMerge w:val="continue"/>
                  <w:tcBorders>
                    <w:tl2br w:val="nil"/>
                    <w:tr2bl w:val="nil"/>
                  </w:tcBorders>
                  <w:vAlign w:val="center"/>
                </w:tcPr>
                <w:p>
                  <w:pPr>
                    <w:pStyle w:val="68"/>
                    <w:rPr>
                      <w:color w:val="auto"/>
                    </w:rPr>
                  </w:pPr>
                </w:p>
              </w:tc>
              <w:tc>
                <w:tcPr>
                  <w:tcW w:w="570" w:type="pct"/>
                  <w:tcBorders>
                    <w:tl2br w:val="nil"/>
                    <w:tr2bl w:val="nil"/>
                  </w:tcBorders>
                  <w:tcMar>
                    <w:left w:w="28" w:type="dxa"/>
                    <w:right w:w="28" w:type="dxa"/>
                  </w:tcMar>
                  <w:vAlign w:val="center"/>
                </w:tcPr>
                <w:p>
                  <w:pPr>
                    <w:pStyle w:val="68"/>
                    <w:rPr>
                      <w:color w:val="auto"/>
                    </w:rPr>
                  </w:pPr>
                  <w:r>
                    <w:rPr>
                      <w:rFonts w:hint="eastAsia"/>
                      <w:color w:val="auto"/>
                    </w:rPr>
                    <w:t>SS</w:t>
                  </w:r>
                </w:p>
              </w:tc>
              <w:tc>
                <w:tcPr>
                  <w:tcW w:w="601" w:type="pct"/>
                  <w:tcBorders>
                    <w:tl2br w:val="nil"/>
                    <w:tr2bl w:val="nil"/>
                  </w:tcBorders>
                  <w:vAlign w:val="center"/>
                </w:tcPr>
                <w:p>
                  <w:pPr>
                    <w:pStyle w:val="68"/>
                    <w:rPr>
                      <w:color w:val="auto"/>
                    </w:rPr>
                  </w:pPr>
                  <w:r>
                    <w:rPr>
                      <w:rFonts w:hint="eastAsia"/>
                      <w:color w:val="auto"/>
                    </w:rPr>
                    <w:t>133</w:t>
                  </w:r>
                </w:p>
              </w:tc>
              <w:tc>
                <w:tcPr>
                  <w:tcW w:w="585" w:type="pct"/>
                  <w:tcBorders>
                    <w:tl2br w:val="nil"/>
                    <w:tr2bl w:val="nil"/>
                  </w:tcBorders>
                  <w:vAlign w:val="center"/>
                </w:tcPr>
                <w:p>
                  <w:pPr>
                    <w:pStyle w:val="68"/>
                    <w:rPr>
                      <w:color w:val="auto"/>
                    </w:rPr>
                  </w:pPr>
                  <w:r>
                    <w:rPr>
                      <w:rFonts w:hint="eastAsia"/>
                      <w:color w:val="auto"/>
                    </w:rPr>
                    <w:t>0.734</w:t>
                  </w:r>
                </w:p>
              </w:tc>
              <w:tc>
                <w:tcPr>
                  <w:tcW w:w="822" w:type="pct"/>
                  <w:vMerge w:val="continue"/>
                  <w:tcBorders>
                    <w:tl2br w:val="nil"/>
                    <w:tr2bl w:val="nil"/>
                  </w:tcBorders>
                  <w:vAlign w:val="center"/>
                </w:tcPr>
                <w:p>
                  <w:pPr>
                    <w:pStyle w:val="68"/>
                    <w:rPr>
                      <w:color w:val="auto"/>
                    </w:rPr>
                  </w:pPr>
                </w:p>
              </w:tc>
              <w:tc>
                <w:tcPr>
                  <w:tcW w:w="358" w:type="pct"/>
                  <w:tcBorders>
                    <w:tl2br w:val="nil"/>
                    <w:tr2bl w:val="nil"/>
                  </w:tcBorders>
                  <w:vAlign w:val="center"/>
                </w:tcPr>
                <w:p>
                  <w:pPr>
                    <w:pStyle w:val="68"/>
                    <w:rPr>
                      <w:color w:val="auto"/>
                    </w:rPr>
                  </w:pPr>
                  <w:r>
                    <w:rPr>
                      <w:rFonts w:hint="eastAsia"/>
                      <w:color w:val="auto"/>
                    </w:rPr>
                    <w:t>78.2%</w:t>
                  </w:r>
                </w:p>
              </w:tc>
              <w:tc>
                <w:tcPr>
                  <w:tcW w:w="555" w:type="pct"/>
                  <w:tcBorders>
                    <w:tl2br w:val="nil"/>
                    <w:tr2bl w:val="nil"/>
                  </w:tcBorders>
                  <w:vAlign w:val="center"/>
                </w:tcPr>
                <w:p>
                  <w:pPr>
                    <w:pStyle w:val="68"/>
                    <w:rPr>
                      <w:color w:val="auto"/>
                    </w:rPr>
                  </w:pPr>
                  <w:r>
                    <w:rPr>
                      <w:rFonts w:hint="eastAsia"/>
                      <w:color w:val="auto"/>
                    </w:rPr>
                    <w:t>29</w:t>
                  </w:r>
                </w:p>
              </w:tc>
              <w:tc>
                <w:tcPr>
                  <w:tcW w:w="479" w:type="pct"/>
                  <w:tcBorders>
                    <w:tl2br w:val="nil"/>
                    <w:tr2bl w:val="nil"/>
                  </w:tcBorders>
                  <w:vAlign w:val="center"/>
                </w:tcPr>
                <w:p>
                  <w:pPr>
                    <w:pStyle w:val="68"/>
                    <w:rPr>
                      <w:color w:val="auto"/>
                    </w:rPr>
                  </w:pPr>
                  <w:r>
                    <w:rPr>
                      <w:rFonts w:hint="eastAsia"/>
                      <w:color w:val="auto"/>
                    </w:rPr>
                    <w:t>0.16</w:t>
                  </w:r>
                </w:p>
              </w:tc>
              <w:tc>
                <w:tcPr>
                  <w:tcW w:w="542"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59" w:hRule="atLeast"/>
                <w:jc w:val="center"/>
              </w:trPr>
              <w:tc>
                <w:tcPr>
                  <w:tcW w:w="484" w:type="pct"/>
                  <w:vMerge w:val="continue"/>
                  <w:tcBorders>
                    <w:tl2br w:val="nil"/>
                    <w:tr2bl w:val="nil"/>
                  </w:tcBorders>
                  <w:vAlign w:val="center"/>
                </w:tcPr>
                <w:p>
                  <w:pPr>
                    <w:pStyle w:val="68"/>
                    <w:rPr>
                      <w:color w:val="auto"/>
                    </w:rPr>
                  </w:pPr>
                </w:p>
              </w:tc>
              <w:tc>
                <w:tcPr>
                  <w:tcW w:w="570" w:type="pct"/>
                  <w:tcBorders>
                    <w:tl2br w:val="nil"/>
                    <w:tr2bl w:val="nil"/>
                  </w:tcBorders>
                  <w:tcMar>
                    <w:left w:w="28" w:type="dxa"/>
                    <w:right w:w="28" w:type="dxa"/>
                  </w:tcMar>
                  <w:vAlign w:val="center"/>
                </w:tcPr>
                <w:p>
                  <w:pPr>
                    <w:pStyle w:val="68"/>
                    <w:rPr>
                      <w:color w:val="auto"/>
                    </w:rPr>
                  </w:pPr>
                  <w:r>
                    <w:rPr>
                      <w:snapToGrid w:val="0"/>
                      <w:color w:val="000000" w:themeColor="text1"/>
                      <w:kern w:val="0"/>
                    </w:rPr>
                    <w:t>NH</w:t>
                  </w:r>
                  <w:r>
                    <w:rPr>
                      <w:snapToGrid w:val="0"/>
                      <w:color w:val="000000" w:themeColor="text1"/>
                      <w:kern w:val="0"/>
                      <w:vertAlign w:val="subscript"/>
                    </w:rPr>
                    <w:t>3</w:t>
                  </w:r>
                  <w:r>
                    <w:rPr>
                      <w:snapToGrid w:val="0"/>
                      <w:color w:val="000000" w:themeColor="text1"/>
                      <w:kern w:val="0"/>
                    </w:rPr>
                    <w:t>-N</w:t>
                  </w:r>
                </w:p>
              </w:tc>
              <w:tc>
                <w:tcPr>
                  <w:tcW w:w="601" w:type="pct"/>
                  <w:tcBorders>
                    <w:tl2br w:val="nil"/>
                    <w:tr2bl w:val="nil"/>
                  </w:tcBorders>
                  <w:vAlign w:val="center"/>
                </w:tcPr>
                <w:p>
                  <w:pPr>
                    <w:pStyle w:val="68"/>
                    <w:rPr>
                      <w:color w:val="auto"/>
                    </w:rPr>
                  </w:pPr>
                  <w:r>
                    <w:rPr>
                      <w:rFonts w:hint="eastAsia"/>
                      <w:color w:val="auto"/>
                    </w:rPr>
                    <w:t>6</w:t>
                  </w:r>
                </w:p>
              </w:tc>
              <w:tc>
                <w:tcPr>
                  <w:tcW w:w="585" w:type="pct"/>
                  <w:tcBorders>
                    <w:tl2br w:val="nil"/>
                    <w:tr2bl w:val="nil"/>
                  </w:tcBorders>
                  <w:vAlign w:val="center"/>
                </w:tcPr>
                <w:p>
                  <w:pPr>
                    <w:pStyle w:val="68"/>
                    <w:rPr>
                      <w:color w:val="auto"/>
                    </w:rPr>
                  </w:pPr>
                  <w:r>
                    <w:rPr>
                      <w:rFonts w:hint="eastAsia"/>
                      <w:color w:val="auto"/>
                    </w:rPr>
                    <w:t>0.033</w:t>
                  </w:r>
                </w:p>
              </w:tc>
              <w:tc>
                <w:tcPr>
                  <w:tcW w:w="822" w:type="pct"/>
                  <w:vMerge w:val="continue"/>
                  <w:tcBorders>
                    <w:tl2br w:val="nil"/>
                    <w:tr2bl w:val="nil"/>
                  </w:tcBorders>
                  <w:vAlign w:val="center"/>
                </w:tcPr>
                <w:p>
                  <w:pPr>
                    <w:pStyle w:val="68"/>
                    <w:rPr>
                      <w:color w:val="auto"/>
                    </w:rPr>
                  </w:pPr>
                </w:p>
              </w:tc>
              <w:tc>
                <w:tcPr>
                  <w:tcW w:w="358" w:type="pct"/>
                  <w:tcBorders>
                    <w:tl2br w:val="nil"/>
                    <w:tr2bl w:val="nil"/>
                  </w:tcBorders>
                  <w:vAlign w:val="center"/>
                </w:tcPr>
                <w:p>
                  <w:pPr>
                    <w:pStyle w:val="68"/>
                    <w:rPr>
                      <w:color w:val="auto"/>
                    </w:rPr>
                  </w:pPr>
                  <w:r>
                    <w:rPr>
                      <w:rFonts w:hint="eastAsia"/>
                      <w:color w:val="auto"/>
                    </w:rPr>
                    <w:t>86.7%</w:t>
                  </w:r>
                </w:p>
              </w:tc>
              <w:tc>
                <w:tcPr>
                  <w:tcW w:w="555" w:type="pct"/>
                  <w:tcBorders>
                    <w:tl2br w:val="nil"/>
                    <w:tr2bl w:val="nil"/>
                  </w:tcBorders>
                  <w:vAlign w:val="center"/>
                </w:tcPr>
                <w:p>
                  <w:pPr>
                    <w:pStyle w:val="68"/>
                    <w:rPr>
                      <w:color w:val="auto"/>
                    </w:rPr>
                  </w:pPr>
                  <w:r>
                    <w:rPr>
                      <w:rFonts w:hint="eastAsia"/>
                      <w:color w:val="auto"/>
                    </w:rPr>
                    <w:t>0.8</w:t>
                  </w:r>
                </w:p>
              </w:tc>
              <w:tc>
                <w:tcPr>
                  <w:tcW w:w="479" w:type="pct"/>
                  <w:tcBorders>
                    <w:tl2br w:val="nil"/>
                    <w:tr2bl w:val="nil"/>
                  </w:tcBorders>
                  <w:vAlign w:val="center"/>
                </w:tcPr>
                <w:p>
                  <w:pPr>
                    <w:pStyle w:val="68"/>
                    <w:rPr>
                      <w:color w:val="auto"/>
                    </w:rPr>
                  </w:pPr>
                  <w:r>
                    <w:rPr>
                      <w:rFonts w:hint="eastAsia"/>
                      <w:color w:val="auto"/>
                    </w:rPr>
                    <w:t>0.004</w:t>
                  </w:r>
                </w:p>
              </w:tc>
              <w:tc>
                <w:tcPr>
                  <w:tcW w:w="542"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37" w:hRule="atLeast"/>
                <w:jc w:val="center"/>
              </w:trPr>
              <w:tc>
                <w:tcPr>
                  <w:tcW w:w="484" w:type="pct"/>
                  <w:vMerge w:val="continue"/>
                  <w:tcBorders>
                    <w:tl2br w:val="nil"/>
                    <w:tr2bl w:val="nil"/>
                  </w:tcBorders>
                  <w:vAlign w:val="center"/>
                </w:tcPr>
                <w:p>
                  <w:pPr>
                    <w:pStyle w:val="68"/>
                    <w:rPr>
                      <w:color w:val="auto"/>
                    </w:rPr>
                  </w:pPr>
                </w:p>
              </w:tc>
              <w:tc>
                <w:tcPr>
                  <w:tcW w:w="570" w:type="pct"/>
                  <w:tcBorders>
                    <w:tl2br w:val="nil"/>
                    <w:tr2bl w:val="nil"/>
                  </w:tcBorders>
                  <w:tcMar>
                    <w:left w:w="28" w:type="dxa"/>
                    <w:right w:w="28" w:type="dxa"/>
                  </w:tcMar>
                  <w:vAlign w:val="center"/>
                </w:tcPr>
                <w:p>
                  <w:pPr>
                    <w:pStyle w:val="68"/>
                    <w:rPr>
                      <w:color w:val="auto"/>
                    </w:rPr>
                  </w:pPr>
                  <w:r>
                    <w:rPr>
                      <w:rFonts w:hint="eastAsia"/>
                      <w:color w:val="auto"/>
                    </w:rPr>
                    <w:t>TP</w:t>
                  </w:r>
                </w:p>
              </w:tc>
              <w:tc>
                <w:tcPr>
                  <w:tcW w:w="601" w:type="pct"/>
                  <w:tcBorders>
                    <w:tl2br w:val="nil"/>
                    <w:tr2bl w:val="nil"/>
                  </w:tcBorders>
                  <w:vAlign w:val="center"/>
                </w:tcPr>
                <w:p>
                  <w:pPr>
                    <w:pStyle w:val="68"/>
                    <w:rPr>
                      <w:color w:val="auto"/>
                    </w:rPr>
                  </w:pPr>
                  <w:r>
                    <w:rPr>
                      <w:rFonts w:hint="eastAsia"/>
                      <w:color w:val="auto"/>
                    </w:rPr>
                    <w:t>1.5</w:t>
                  </w:r>
                </w:p>
              </w:tc>
              <w:tc>
                <w:tcPr>
                  <w:tcW w:w="585" w:type="pct"/>
                  <w:tcBorders>
                    <w:tl2br w:val="nil"/>
                    <w:tr2bl w:val="nil"/>
                  </w:tcBorders>
                  <w:vAlign w:val="center"/>
                </w:tcPr>
                <w:p>
                  <w:pPr>
                    <w:pStyle w:val="68"/>
                    <w:rPr>
                      <w:color w:val="auto"/>
                    </w:rPr>
                  </w:pPr>
                  <w:r>
                    <w:rPr>
                      <w:rFonts w:hint="eastAsia"/>
                      <w:color w:val="auto"/>
                    </w:rPr>
                    <w:t>0.008</w:t>
                  </w:r>
                </w:p>
              </w:tc>
              <w:tc>
                <w:tcPr>
                  <w:tcW w:w="822" w:type="pct"/>
                  <w:vMerge w:val="continue"/>
                  <w:tcBorders>
                    <w:tl2br w:val="nil"/>
                    <w:tr2bl w:val="nil"/>
                  </w:tcBorders>
                  <w:vAlign w:val="center"/>
                </w:tcPr>
                <w:p>
                  <w:pPr>
                    <w:pStyle w:val="68"/>
                    <w:rPr>
                      <w:color w:val="auto"/>
                    </w:rPr>
                  </w:pPr>
                </w:p>
              </w:tc>
              <w:tc>
                <w:tcPr>
                  <w:tcW w:w="358" w:type="pct"/>
                  <w:tcBorders>
                    <w:tl2br w:val="nil"/>
                    <w:tr2bl w:val="nil"/>
                  </w:tcBorders>
                  <w:vAlign w:val="center"/>
                </w:tcPr>
                <w:p>
                  <w:pPr>
                    <w:pStyle w:val="68"/>
                    <w:rPr>
                      <w:color w:val="auto"/>
                    </w:rPr>
                  </w:pPr>
                  <w:r>
                    <w:rPr>
                      <w:rFonts w:hint="eastAsia"/>
                      <w:color w:val="auto"/>
                    </w:rPr>
                    <w:t>48.8%</w:t>
                  </w:r>
                </w:p>
              </w:tc>
              <w:tc>
                <w:tcPr>
                  <w:tcW w:w="555" w:type="pct"/>
                  <w:tcBorders>
                    <w:tl2br w:val="nil"/>
                    <w:tr2bl w:val="nil"/>
                  </w:tcBorders>
                  <w:vAlign w:val="center"/>
                </w:tcPr>
                <w:p>
                  <w:pPr>
                    <w:pStyle w:val="68"/>
                    <w:rPr>
                      <w:color w:val="auto"/>
                    </w:rPr>
                  </w:pPr>
                  <w:r>
                    <w:rPr>
                      <w:rFonts w:hint="eastAsia"/>
                      <w:color w:val="auto"/>
                    </w:rPr>
                    <w:t>0.77</w:t>
                  </w:r>
                </w:p>
              </w:tc>
              <w:tc>
                <w:tcPr>
                  <w:tcW w:w="479" w:type="pct"/>
                  <w:tcBorders>
                    <w:tl2br w:val="nil"/>
                    <w:tr2bl w:val="nil"/>
                  </w:tcBorders>
                  <w:vAlign w:val="center"/>
                </w:tcPr>
                <w:p>
                  <w:pPr>
                    <w:pStyle w:val="68"/>
                    <w:rPr>
                      <w:color w:val="auto"/>
                    </w:rPr>
                  </w:pPr>
                  <w:r>
                    <w:rPr>
                      <w:rFonts w:hint="eastAsia"/>
                      <w:color w:val="auto"/>
                    </w:rPr>
                    <w:t>0.004</w:t>
                  </w:r>
                </w:p>
              </w:tc>
              <w:tc>
                <w:tcPr>
                  <w:tcW w:w="542"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56" w:hRule="atLeast"/>
                <w:jc w:val="center"/>
              </w:trPr>
              <w:tc>
                <w:tcPr>
                  <w:tcW w:w="484" w:type="pct"/>
                  <w:vMerge w:val="restart"/>
                  <w:tcBorders>
                    <w:tl2br w:val="nil"/>
                    <w:tr2bl w:val="nil"/>
                  </w:tcBorders>
                  <w:vAlign w:val="center"/>
                </w:tcPr>
                <w:p>
                  <w:pPr>
                    <w:pStyle w:val="68"/>
                    <w:rPr>
                      <w:color w:val="auto"/>
                    </w:rPr>
                  </w:pPr>
                  <w:r>
                    <w:rPr>
                      <w:rFonts w:hint="eastAsia"/>
                      <w:color w:val="auto"/>
                    </w:rPr>
                    <w:t>生活污水2400m</w:t>
                  </w:r>
                  <w:r>
                    <w:rPr>
                      <w:rFonts w:hint="eastAsia"/>
                      <w:color w:val="auto"/>
                      <w:vertAlign w:val="superscript"/>
                    </w:rPr>
                    <w:t>3</w:t>
                  </w:r>
                  <w:r>
                    <w:rPr>
                      <w:rFonts w:hint="eastAsia"/>
                      <w:color w:val="auto"/>
                    </w:rPr>
                    <w:t>/a</w:t>
                  </w:r>
                </w:p>
              </w:tc>
              <w:tc>
                <w:tcPr>
                  <w:tcW w:w="570" w:type="pct"/>
                  <w:tcBorders>
                    <w:tl2br w:val="nil"/>
                    <w:tr2bl w:val="nil"/>
                  </w:tcBorders>
                  <w:tcMar>
                    <w:left w:w="28" w:type="dxa"/>
                    <w:right w:w="28" w:type="dxa"/>
                  </w:tcMar>
                  <w:vAlign w:val="center"/>
                </w:tcPr>
                <w:p>
                  <w:pPr>
                    <w:jc w:val="center"/>
                    <w:rPr>
                      <w:szCs w:val="21"/>
                    </w:rPr>
                  </w:pPr>
                  <w:r>
                    <w:rPr>
                      <w:snapToGrid w:val="0"/>
                      <w:kern w:val="0"/>
                      <w:szCs w:val="21"/>
                    </w:rPr>
                    <w:t>COD</w:t>
                  </w:r>
                </w:p>
              </w:tc>
              <w:tc>
                <w:tcPr>
                  <w:tcW w:w="988" w:type="dxa"/>
                  <w:tcBorders>
                    <w:tl2br w:val="nil"/>
                    <w:tr2bl w:val="nil"/>
                  </w:tcBorders>
                  <w:vAlign w:val="center"/>
                </w:tcPr>
                <w:p>
                  <w:pPr>
                    <w:jc w:val="center"/>
                    <w:rPr>
                      <w:szCs w:val="21"/>
                    </w:rPr>
                  </w:pPr>
                  <w:r>
                    <w:rPr>
                      <w:szCs w:val="21"/>
                    </w:rPr>
                    <w:t>400</w:t>
                  </w:r>
                </w:p>
              </w:tc>
              <w:tc>
                <w:tcPr>
                  <w:tcW w:w="585" w:type="pct"/>
                  <w:tcBorders>
                    <w:tl2br w:val="nil"/>
                    <w:tr2bl w:val="nil"/>
                  </w:tcBorders>
                  <w:vAlign w:val="center"/>
                </w:tcPr>
                <w:p>
                  <w:pPr>
                    <w:pStyle w:val="68"/>
                    <w:rPr>
                      <w:color w:val="auto"/>
                    </w:rPr>
                  </w:pPr>
                  <w:r>
                    <w:rPr>
                      <w:rFonts w:hint="eastAsia"/>
                      <w:color w:val="auto"/>
                    </w:rPr>
                    <w:t>0.96</w:t>
                  </w:r>
                </w:p>
              </w:tc>
              <w:tc>
                <w:tcPr>
                  <w:tcW w:w="822" w:type="pct"/>
                  <w:vMerge w:val="restart"/>
                  <w:tcBorders>
                    <w:tl2br w:val="nil"/>
                    <w:tr2bl w:val="nil"/>
                  </w:tcBorders>
                  <w:vAlign w:val="center"/>
                </w:tcPr>
                <w:p>
                  <w:pPr>
                    <w:pStyle w:val="68"/>
                    <w:rPr>
                      <w:color w:val="auto"/>
                    </w:rPr>
                  </w:pPr>
                  <w:r>
                    <w:rPr>
                      <w:rFonts w:hint="eastAsia"/>
                      <w:color w:val="auto"/>
                    </w:rPr>
                    <w:t>化粪池+</w:t>
                  </w:r>
                  <w:r>
                    <w:rPr>
                      <w:color w:val="auto"/>
                      <w:kern w:val="0"/>
                    </w:rPr>
                    <w:t>厂区污水站“</w:t>
                  </w:r>
                  <w:r>
                    <w:rPr>
                      <w:rFonts w:hint="eastAsia"/>
                      <w:color w:val="auto"/>
                      <w:kern w:val="0"/>
                    </w:rPr>
                    <w:t>调节+气浮+水解酸化+接触氧化+二沉池</w:t>
                  </w:r>
                  <w:r>
                    <w:rPr>
                      <w:color w:val="auto"/>
                      <w:kern w:val="0"/>
                    </w:rPr>
                    <w:t>”</w:t>
                  </w:r>
                </w:p>
              </w:tc>
              <w:tc>
                <w:tcPr>
                  <w:tcW w:w="358" w:type="pct"/>
                  <w:tcBorders>
                    <w:tl2br w:val="nil"/>
                    <w:tr2bl w:val="nil"/>
                  </w:tcBorders>
                  <w:vAlign w:val="center"/>
                </w:tcPr>
                <w:p>
                  <w:pPr>
                    <w:pStyle w:val="68"/>
                    <w:rPr>
                      <w:color w:val="auto"/>
                    </w:rPr>
                  </w:pPr>
                  <w:r>
                    <w:rPr>
                      <w:rFonts w:hint="eastAsia"/>
                      <w:color w:val="auto"/>
                    </w:rPr>
                    <w:t>49.1%</w:t>
                  </w:r>
                </w:p>
              </w:tc>
              <w:tc>
                <w:tcPr>
                  <w:tcW w:w="912" w:type="dxa"/>
                  <w:tcBorders>
                    <w:tl2br w:val="nil"/>
                    <w:tr2bl w:val="nil"/>
                  </w:tcBorders>
                  <w:vAlign w:val="center"/>
                </w:tcPr>
                <w:p>
                  <w:pPr>
                    <w:jc w:val="center"/>
                    <w:rPr>
                      <w:szCs w:val="21"/>
                    </w:rPr>
                  </w:pPr>
                  <w:r>
                    <w:rPr>
                      <w:rFonts w:hint="eastAsia"/>
                      <w:szCs w:val="21"/>
                    </w:rPr>
                    <w:t>203.6</w:t>
                  </w:r>
                </w:p>
              </w:tc>
              <w:tc>
                <w:tcPr>
                  <w:tcW w:w="479" w:type="pct"/>
                  <w:tcBorders>
                    <w:tl2br w:val="nil"/>
                    <w:tr2bl w:val="nil"/>
                  </w:tcBorders>
                  <w:vAlign w:val="center"/>
                </w:tcPr>
                <w:p>
                  <w:pPr>
                    <w:pStyle w:val="68"/>
                    <w:rPr>
                      <w:color w:val="auto"/>
                    </w:rPr>
                  </w:pPr>
                  <w:r>
                    <w:rPr>
                      <w:rFonts w:hint="eastAsia"/>
                      <w:color w:val="auto"/>
                    </w:rPr>
                    <w:t>0.489</w:t>
                  </w:r>
                </w:p>
              </w:tc>
              <w:tc>
                <w:tcPr>
                  <w:tcW w:w="542"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56" w:hRule="atLeast"/>
                <w:jc w:val="center"/>
              </w:trPr>
              <w:tc>
                <w:tcPr>
                  <w:tcW w:w="484" w:type="pct"/>
                  <w:vMerge w:val="continue"/>
                  <w:tcBorders>
                    <w:tl2br w:val="nil"/>
                    <w:tr2bl w:val="nil"/>
                  </w:tcBorders>
                  <w:vAlign w:val="center"/>
                </w:tcPr>
                <w:p>
                  <w:pPr>
                    <w:pStyle w:val="68"/>
                    <w:rPr>
                      <w:color w:val="auto"/>
                    </w:rPr>
                  </w:pPr>
                </w:p>
              </w:tc>
              <w:tc>
                <w:tcPr>
                  <w:tcW w:w="570" w:type="pct"/>
                  <w:tcBorders>
                    <w:tl2br w:val="nil"/>
                    <w:tr2bl w:val="nil"/>
                  </w:tcBorders>
                  <w:tcMar>
                    <w:left w:w="28" w:type="dxa"/>
                    <w:right w:w="28" w:type="dxa"/>
                  </w:tcMar>
                  <w:vAlign w:val="center"/>
                </w:tcPr>
                <w:p>
                  <w:pPr>
                    <w:jc w:val="center"/>
                    <w:rPr>
                      <w:szCs w:val="21"/>
                    </w:rPr>
                  </w:pPr>
                  <w:r>
                    <w:rPr>
                      <w:snapToGrid w:val="0"/>
                      <w:kern w:val="0"/>
                      <w:szCs w:val="21"/>
                    </w:rPr>
                    <w:t>SS</w:t>
                  </w:r>
                </w:p>
              </w:tc>
              <w:tc>
                <w:tcPr>
                  <w:tcW w:w="988" w:type="dxa"/>
                  <w:tcBorders>
                    <w:tl2br w:val="nil"/>
                    <w:tr2bl w:val="nil"/>
                  </w:tcBorders>
                  <w:vAlign w:val="center"/>
                </w:tcPr>
                <w:p>
                  <w:pPr>
                    <w:jc w:val="center"/>
                    <w:rPr>
                      <w:szCs w:val="21"/>
                    </w:rPr>
                  </w:pPr>
                  <w:r>
                    <w:rPr>
                      <w:rFonts w:hint="eastAsia"/>
                      <w:szCs w:val="21"/>
                    </w:rPr>
                    <w:t>2</w:t>
                  </w:r>
                  <w:r>
                    <w:rPr>
                      <w:szCs w:val="21"/>
                    </w:rPr>
                    <w:t>00</w:t>
                  </w:r>
                </w:p>
              </w:tc>
              <w:tc>
                <w:tcPr>
                  <w:tcW w:w="585" w:type="pct"/>
                  <w:tcBorders>
                    <w:tl2br w:val="nil"/>
                    <w:tr2bl w:val="nil"/>
                  </w:tcBorders>
                  <w:vAlign w:val="center"/>
                </w:tcPr>
                <w:p>
                  <w:pPr>
                    <w:pStyle w:val="68"/>
                    <w:rPr>
                      <w:color w:val="auto"/>
                    </w:rPr>
                  </w:pPr>
                  <w:r>
                    <w:rPr>
                      <w:rFonts w:hint="eastAsia"/>
                      <w:color w:val="auto"/>
                    </w:rPr>
                    <w:t>0.48</w:t>
                  </w:r>
                </w:p>
              </w:tc>
              <w:tc>
                <w:tcPr>
                  <w:tcW w:w="822" w:type="pct"/>
                  <w:vMerge w:val="continue"/>
                  <w:tcBorders>
                    <w:tl2br w:val="nil"/>
                    <w:tr2bl w:val="nil"/>
                  </w:tcBorders>
                  <w:vAlign w:val="center"/>
                </w:tcPr>
                <w:p>
                  <w:pPr>
                    <w:pStyle w:val="68"/>
                    <w:rPr>
                      <w:color w:val="auto"/>
                    </w:rPr>
                  </w:pPr>
                </w:p>
              </w:tc>
              <w:tc>
                <w:tcPr>
                  <w:tcW w:w="358" w:type="pct"/>
                  <w:tcBorders>
                    <w:tl2br w:val="nil"/>
                    <w:tr2bl w:val="nil"/>
                  </w:tcBorders>
                  <w:vAlign w:val="center"/>
                </w:tcPr>
                <w:p>
                  <w:pPr>
                    <w:pStyle w:val="68"/>
                    <w:rPr>
                      <w:color w:val="auto"/>
                    </w:rPr>
                  </w:pPr>
                  <w:r>
                    <w:rPr>
                      <w:rFonts w:hint="eastAsia"/>
                      <w:color w:val="auto"/>
                    </w:rPr>
                    <w:t>78.2%</w:t>
                  </w:r>
                </w:p>
              </w:tc>
              <w:tc>
                <w:tcPr>
                  <w:tcW w:w="912" w:type="dxa"/>
                  <w:tcBorders>
                    <w:tl2br w:val="nil"/>
                    <w:tr2bl w:val="nil"/>
                  </w:tcBorders>
                  <w:vAlign w:val="center"/>
                </w:tcPr>
                <w:p>
                  <w:pPr>
                    <w:jc w:val="center"/>
                    <w:rPr>
                      <w:szCs w:val="21"/>
                    </w:rPr>
                  </w:pPr>
                  <w:r>
                    <w:rPr>
                      <w:rFonts w:hint="eastAsia"/>
                      <w:szCs w:val="21"/>
                    </w:rPr>
                    <w:t>43.6</w:t>
                  </w:r>
                </w:p>
              </w:tc>
              <w:tc>
                <w:tcPr>
                  <w:tcW w:w="479" w:type="pct"/>
                  <w:tcBorders>
                    <w:tl2br w:val="nil"/>
                    <w:tr2bl w:val="nil"/>
                  </w:tcBorders>
                  <w:vAlign w:val="center"/>
                </w:tcPr>
                <w:p>
                  <w:pPr>
                    <w:pStyle w:val="68"/>
                    <w:rPr>
                      <w:color w:val="auto"/>
                    </w:rPr>
                  </w:pPr>
                  <w:r>
                    <w:rPr>
                      <w:rFonts w:hint="eastAsia"/>
                      <w:color w:val="auto"/>
                    </w:rPr>
                    <w:t>0.105</w:t>
                  </w:r>
                </w:p>
              </w:tc>
              <w:tc>
                <w:tcPr>
                  <w:tcW w:w="542"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56" w:hRule="atLeast"/>
                <w:jc w:val="center"/>
              </w:trPr>
              <w:tc>
                <w:tcPr>
                  <w:tcW w:w="484" w:type="pct"/>
                  <w:vMerge w:val="continue"/>
                  <w:tcBorders>
                    <w:tl2br w:val="nil"/>
                    <w:tr2bl w:val="nil"/>
                  </w:tcBorders>
                  <w:vAlign w:val="center"/>
                </w:tcPr>
                <w:p>
                  <w:pPr>
                    <w:pStyle w:val="68"/>
                    <w:rPr>
                      <w:color w:val="auto"/>
                    </w:rPr>
                  </w:pPr>
                </w:p>
              </w:tc>
              <w:tc>
                <w:tcPr>
                  <w:tcW w:w="570" w:type="pct"/>
                  <w:tcBorders>
                    <w:tl2br w:val="nil"/>
                    <w:tr2bl w:val="nil"/>
                  </w:tcBorders>
                  <w:tcMar>
                    <w:left w:w="28" w:type="dxa"/>
                    <w:right w:w="28" w:type="dxa"/>
                  </w:tcMar>
                  <w:vAlign w:val="center"/>
                </w:tcPr>
                <w:p>
                  <w:pPr>
                    <w:jc w:val="center"/>
                    <w:rPr>
                      <w:szCs w:val="21"/>
                    </w:rPr>
                  </w:pPr>
                  <w:r>
                    <w:rPr>
                      <w:snapToGrid w:val="0"/>
                      <w:kern w:val="0"/>
                      <w:szCs w:val="21"/>
                    </w:rPr>
                    <w:t>NH</w:t>
                  </w:r>
                  <w:r>
                    <w:rPr>
                      <w:snapToGrid w:val="0"/>
                      <w:kern w:val="0"/>
                      <w:szCs w:val="21"/>
                      <w:vertAlign w:val="subscript"/>
                    </w:rPr>
                    <w:t>3</w:t>
                  </w:r>
                  <w:r>
                    <w:rPr>
                      <w:snapToGrid w:val="0"/>
                      <w:kern w:val="0"/>
                      <w:szCs w:val="21"/>
                    </w:rPr>
                    <w:t>-N</w:t>
                  </w:r>
                </w:p>
              </w:tc>
              <w:tc>
                <w:tcPr>
                  <w:tcW w:w="988" w:type="dxa"/>
                  <w:tcBorders>
                    <w:tl2br w:val="nil"/>
                    <w:tr2bl w:val="nil"/>
                  </w:tcBorders>
                  <w:vAlign w:val="center"/>
                </w:tcPr>
                <w:p>
                  <w:pPr>
                    <w:jc w:val="center"/>
                    <w:rPr>
                      <w:szCs w:val="21"/>
                    </w:rPr>
                  </w:pPr>
                  <w:r>
                    <w:rPr>
                      <w:rFonts w:hint="eastAsia"/>
                      <w:szCs w:val="21"/>
                    </w:rPr>
                    <w:t>30</w:t>
                  </w:r>
                </w:p>
              </w:tc>
              <w:tc>
                <w:tcPr>
                  <w:tcW w:w="585" w:type="pct"/>
                  <w:tcBorders>
                    <w:tl2br w:val="nil"/>
                    <w:tr2bl w:val="nil"/>
                  </w:tcBorders>
                  <w:vAlign w:val="center"/>
                </w:tcPr>
                <w:p>
                  <w:pPr>
                    <w:pStyle w:val="68"/>
                    <w:rPr>
                      <w:color w:val="auto"/>
                    </w:rPr>
                  </w:pPr>
                  <w:r>
                    <w:rPr>
                      <w:rFonts w:hint="eastAsia"/>
                      <w:color w:val="auto"/>
                    </w:rPr>
                    <w:t>0.072</w:t>
                  </w:r>
                </w:p>
              </w:tc>
              <w:tc>
                <w:tcPr>
                  <w:tcW w:w="822" w:type="pct"/>
                  <w:vMerge w:val="continue"/>
                  <w:tcBorders>
                    <w:tl2br w:val="nil"/>
                    <w:tr2bl w:val="nil"/>
                  </w:tcBorders>
                  <w:vAlign w:val="center"/>
                </w:tcPr>
                <w:p>
                  <w:pPr>
                    <w:pStyle w:val="68"/>
                    <w:rPr>
                      <w:color w:val="auto"/>
                    </w:rPr>
                  </w:pPr>
                </w:p>
              </w:tc>
              <w:tc>
                <w:tcPr>
                  <w:tcW w:w="358" w:type="pct"/>
                  <w:tcBorders>
                    <w:tl2br w:val="nil"/>
                    <w:tr2bl w:val="nil"/>
                  </w:tcBorders>
                  <w:vAlign w:val="center"/>
                </w:tcPr>
                <w:p>
                  <w:pPr>
                    <w:pStyle w:val="68"/>
                    <w:rPr>
                      <w:color w:val="auto"/>
                    </w:rPr>
                  </w:pPr>
                  <w:r>
                    <w:rPr>
                      <w:rFonts w:hint="eastAsia"/>
                      <w:color w:val="auto"/>
                    </w:rPr>
                    <w:t>86.7%</w:t>
                  </w:r>
                </w:p>
              </w:tc>
              <w:tc>
                <w:tcPr>
                  <w:tcW w:w="912" w:type="dxa"/>
                  <w:tcBorders>
                    <w:tl2br w:val="nil"/>
                    <w:tr2bl w:val="nil"/>
                  </w:tcBorders>
                  <w:vAlign w:val="center"/>
                </w:tcPr>
                <w:p>
                  <w:pPr>
                    <w:jc w:val="center"/>
                    <w:rPr>
                      <w:szCs w:val="21"/>
                    </w:rPr>
                  </w:pPr>
                  <w:r>
                    <w:rPr>
                      <w:rFonts w:hint="eastAsia"/>
                      <w:szCs w:val="21"/>
                    </w:rPr>
                    <w:t>3.99</w:t>
                  </w:r>
                </w:p>
              </w:tc>
              <w:tc>
                <w:tcPr>
                  <w:tcW w:w="479" w:type="pct"/>
                  <w:tcBorders>
                    <w:tl2br w:val="nil"/>
                    <w:tr2bl w:val="nil"/>
                  </w:tcBorders>
                  <w:vAlign w:val="center"/>
                </w:tcPr>
                <w:p>
                  <w:pPr>
                    <w:pStyle w:val="68"/>
                    <w:rPr>
                      <w:color w:val="auto"/>
                    </w:rPr>
                  </w:pPr>
                  <w:r>
                    <w:rPr>
                      <w:rFonts w:hint="eastAsia"/>
                      <w:color w:val="auto"/>
                    </w:rPr>
                    <w:t>0.01</w:t>
                  </w:r>
                </w:p>
              </w:tc>
              <w:tc>
                <w:tcPr>
                  <w:tcW w:w="542"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56" w:hRule="atLeast"/>
                <w:jc w:val="center"/>
              </w:trPr>
              <w:tc>
                <w:tcPr>
                  <w:tcW w:w="484" w:type="pct"/>
                  <w:vMerge w:val="continue"/>
                  <w:tcBorders>
                    <w:tl2br w:val="nil"/>
                    <w:tr2bl w:val="nil"/>
                  </w:tcBorders>
                  <w:vAlign w:val="center"/>
                </w:tcPr>
                <w:p>
                  <w:pPr>
                    <w:pStyle w:val="68"/>
                    <w:rPr>
                      <w:color w:val="auto"/>
                    </w:rPr>
                  </w:pPr>
                </w:p>
              </w:tc>
              <w:tc>
                <w:tcPr>
                  <w:tcW w:w="570" w:type="pct"/>
                  <w:tcBorders>
                    <w:tl2br w:val="nil"/>
                    <w:tr2bl w:val="nil"/>
                  </w:tcBorders>
                  <w:tcMar>
                    <w:left w:w="28" w:type="dxa"/>
                    <w:right w:w="28" w:type="dxa"/>
                  </w:tcMar>
                  <w:vAlign w:val="center"/>
                </w:tcPr>
                <w:p>
                  <w:pPr>
                    <w:jc w:val="center"/>
                    <w:rPr>
                      <w:szCs w:val="21"/>
                    </w:rPr>
                  </w:pPr>
                  <w:r>
                    <w:rPr>
                      <w:snapToGrid w:val="0"/>
                      <w:kern w:val="0"/>
                      <w:szCs w:val="21"/>
                    </w:rPr>
                    <w:t>TP</w:t>
                  </w:r>
                </w:p>
              </w:tc>
              <w:tc>
                <w:tcPr>
                  <w:tcW w:w="988" w:type="dxa"/>
                  <w:tcBorders>
                    <w:tl2br w:val="nil"/>
                    <w:tr2bl w:val="nil"/>
                  </w:tcBorders>
                  <w:vAlign w:val="center"/>
                </w:tcPr>
                <w:p>
                  <w:pPr>
                    <w:jc w:val="center"/>
                    <w:rPr>
                      <w:szCs w:val="21"/>
                    </w:rPr>
                  </w:pPr>
                  <w:r>
                    <w:rPr>
                      <w:szCs w:val="21"/>
                    </w:rPr>
                    <w:t>6</w:t>
                  </w:r>
                </w:p>
              </w:tc>
              <w:tc>
                <w:tcPr>
                  <w:tcW w:w="585" w:type="pct"/>
                  <w:tcBorders>
                    <w:tl2br w:val="nil"/>
                    <w:tr2bl w:val="nil"/>
                  </w:tcBorders>
                  <w:vAlign w:val="center"/>
                </w:tcPr>
                <w:p>
                  <w:pPr>
                    <w:pStyle w:val="68"/>
                    <w:rPr>
                      <w:color w:val="auto"/>
                    </w:rPr>
                  </w:pPr>
                  <w:r>
                    <w:rPr>
                      <w:rFonts w:hint="eastAsia"/>
                      <w:color w:val="auto"/>
                    </w:rPr>
                    <w:t>0.014</w:t>
                  </w:r>
                </w:p>
              </w:tc>
              <w:tc>
                <w:tcPr>
                  <w:tcW w:w="822" w:type="pct"/>
                  <w:vMerge w:val="continue"/>
                  <w:tcBorders>
                    <w:tl2br w:val="nil"/>
                    <w:tr2bl w:val="nil"/>
                  </w:tcBorders>
                  <w:vAlign w:val="center"/>
                </w:tcPr>
                <w:p>
                  <w:pPr>
                    <w:pStyle w:val="68"/>
                    <w:rPr>
                      <w:color w:val="auto"/>
                    </w:rPr>
                  </w:pPr>
                </w:p>
              </w:tc>
              <w:tc>
                <w:tcPr>
                  <w:tcW w:w="358" w:type="pct"/>
                  <w:tcBorders>
                    <w:tl2br w:val="nil"/>
                    <w:tr2bl w:val="nil"/>
                  </w:tcBorders>
                  <w:vAlign w:val="center"/>
                </w:tcPr>
                <w:p>
                  <w:pPr>
                    <w:pStyle w:val="68"/>
                    <w:rPr>
                      <w:color w:val="auto"/>
                    </w:rPr>
                  </w:pPr>
                  <w:r>
                    <w:rPr>
                      <w:rFonts w:hint="eastAsia"/>
                      <w:color w:val="auto"/>
                    </w:rPr>
                    <w:t>48.8%</w:t>
                  </w:r>
                </w:p>
              </w:tc>
              <w:tc>
                <w:tcPr>
                  <w:tcW w:w="912" w:type="dxa"/>
                  <w:tcBorders>
                    <w:tl2br w:val="nil"/>
                    <w:tr2bl w:val="nil"/>
                  </w:tcBorders>
                  <w:vAlign w:val="center"/>
                </w:tcPr>
                <w:p>
                  <w:pPr>
                    <w:jc w:val="center"/>
                    <w:rPr>
                      <w:szCs w:val="21"/>
                    </w:rPr>
                  </w:pPr>
                  <w:r>
                    <w:rPr>
                      <w:rFonts w:hint="eastAsia"/>
                      <w:szCs w:val="21"/>
                    </w:rPr>
                    <w:t>3.07</w:t>
                  </w:r>
                </w:p>
              </w:tc>
              <w:tc>
                <w:tcPr>
                  <w:tcW w:w="479" w:type="pct"/>
                  <w:tcBorders>
                    <w:tl2br w:val="nil"/>
                    <w:tr2bl w:val="nil"/>
                  </w:tcBorders>
                  <w:vAlign w:val="center"/>
                </w:tcPr>
                <w:p>
                  <w:pPr>
                    <w:pStyle w:val="68"/>
                    <w:rPr>
                      <w:color w:val="auto"/>
                    </w:rPr>
                  </w:pPr>
                  <w:r>
                    <w:rPr>
                      <w:rFonts w:hint="eastAsia"/>
                      <w:color w:val="auto"/>
                    </w:rPr>
                    <w:t>0.01</w:t>
                  </w:r>
                </w:p>
              </w:tc>
              <w:tc>
                <w:tcPr>
                  <w:tcW w:w="542"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56" w:hRule="atLeast"/>
                <w:jc w:val="center"/>
              </w:trPr>
              <w:tc>
                <w:tcPr>
                  <w:tcW w:w="484" w:type="pct"/>
                  <w:vMerge w:val="continue"/>
                  <w:tcBorders>
                    <w:tl2br w:val="nil"/>
                    <w:tr2bl w:val="nil"/>
                  </w:tcBorders>
                  <w:vAlign w:val="center"/>
                </w:tcPr>
                <w:p>
                  <w:pPr>
                    <w:pStyle w:val="68"/>
                    <w:rPr>
                      <w:color w:val="auto"/>
                    </w:rPr>
                  </w:pPr>
                </w:p>
              </w:tc>
              <w:tc>
                <w:tcPr>
                  <w:tcW w:w="570" w:type="pct"/>
                  <w:tcBorders>
                    <w:tl2br w:val="nil"/>
                    <w:tr2bl w:val="nil"/>
                  </w:tcBorders>
                  <w:tcMar>
                    <w:left w:w="28" w:type="dxa"/>
                    <w:right w:w="28" w:type="dxa"/>
                  </w:tcMar>
                  <w:vAlign w:val="center"/>
                </w:tcPr>
                <w:p>
                  <w:pPr>
                    <w:jc w:val="center"/>
                    <w:rPr>
                      <w:snapToGrid w:val="0"/>
                      <w:kern w:val="0"/>
                      <w:szCs w:val="21"/>
                    </w:rPr>
                  </w:pPr>
                  <w:r>
                    <w:rPr>
                      <w:rFonts w:hint="eastAsia"/>
                      <w:snapToGrid w:val="0"/>
                      <w:kern w:val="0"/>
                      <w:szCs w:val="21"/>
                    </w:rPr>
                    <w:t>动植物油</w:t>
                  </w:r>
                </w:p>
              </w:tc>
              <w:tc>
                <w:tcPr>
                  <w:tcW w:w="601" w:type="pct"/>
                  <w:tcBorders>
                    <w:tl2br w:val="nil"/>
                    <w:tr2bl w:val="nil"/>
                  </w:tcBorders>
                  <w:vAlign w:val="center"/>
                </w:tcPr>
                <w:p>
                  <w:pPr>
                    <w:pStyle w:val="68"/>
                    <w:rPr>
                      <w:color w:val="auto"/>
                    </w:rPr>
                  </w:pPr>
                  <w:r>
                    <w:rPr>
                      <w:rFonts w:hint="eastAsia"/>
                      <w:color w:val="auto"/>
                    </w:rPr>
                    <w:t>50</w:t>
                  </w:r>
                </w:p>
              </w:tc>
              <w:tc>
                <w:tcPr>
                  <w:tcW w:w="585" w:type="pct"/>
                  <w:tcBorders>
                    <w:tl2br w:val="nil"/>
                    <w:tr2bl w:val="nil"/>
                  </w:tcBorders>
                  <w:vAlign w:val="center"/>
                </w:tcPr>
                <w:p>
                  <w:pPr>
                    <w:pStyle w:val="68"/>
                    <w:rPr>
                      <w:color w:val="auto"/>
                    </w:rPr>
                  </w:pPr>
                  <w:r>
                    <w:rPr>
                      <w:rFonts w:hint="eastAsia"/>
                      <w:color w:val="auto"/>
                    </w:rPr>
                    <w:t>0.12</w:t>
                  </w:r>
                </w:p>
              </w:tc>
              <w:tc>
                <w:tcPr>
                  <w:tcW w:w="822" w:type="pct"/>
                  <w:vMerge w:val="continue"/>
                  <w:tcBorders>
                    <w:tl2br w:val="nil"/>
                    <w:tr2bl w:val="nil"/>
                  </w:tcBorders>
                  <w:vAlign w:val="center"/>
                </w:tcPr>
                <w:p>
                  <w:pPr>
                    <w:pStyle w:val="68"/>
                    <w:rPr>
                      <w:color w:val="auto"/>
                    </w:rPr>
                  </w:pPr>
                </w:p>
              </w:tc>
              <w:tc>
                <w:tcPr>
                  <w:tcW w:w="358" w:type="pct"/>
                  <w:tcBorders>
                    <w:tl2br w:val="nil"/>
                    <w:tr2bl w:val="nil"/>
                  </w:tcBorders>
                  <w:vAlign w:val="center"/>
                </w:tcPr>
                <w:p>
                  <w:pPr>
                    <w:pStyle w:val="68"/>
                    <w:rPr>
                      <w:color w:val="auto"/>
                    </w:rPr>
                  </w:pPr>
                  <w:r>
                    <w:rPr>
                      <w:rFonts w:hint="eastAsia"/>
                      <w:color w:val="auto"/>
                    </w:rPr>
                    <w:t>64.1%</w:t>
                  </w:r>
                </w:p>
              </w:tc>
              <w:tc>
                <w:tcPr>
                  <w:tcW w:w="555" w:type="pct"/>
                  <w:tcBorders>
                    <w:tl2br w:val="nil"/>
                    <w:tr2bl w:val="nil"/>
                  </w:tcBorders>
                  <w:vAlign w:val="center"/>
                </w:tcPr>
                <w:p>
                  <w:pPr>
                    <w:pStyle w:val="68"/>
                    <w:rPr>
                      <w:color w:val="auto"/>
                    </w:rPr>
                  </w:pPr>
                  <w:r>
                    <w:rPr>
                      <w:rFonts w:hint="eastAsia"/>
                      <w:color w:val="auto"/>
                    </w:rPr>
                    <w:t>18</w:t>
                  </w:r>
                </w:p>
              </w:tc>
              <w:tc>
                <w:tcPr>
                  <w:tcW w:w="479" w:type="pct"/>
                  <w:tcBorders>
                    <w:tl2br w:val="nil"/>
                    <w:tr2bl w:val="nil"/>
                  </w:tcBorders>
                  <w:vAlign w:val="center"/>
                </w:tcPr>
                <w:p>
                  <w:pPr>
                    <w:pStyle w:val="68"/>
                    <w:rPr>
                      <w:color w:val="auto"/>
                    </w:rPr>
                  </w:pPr>
                  <w:r>
                    <w:rPr>
                      <w:rFonts w:hint="eastAsia"/>
                      <w:color w:val="auto"/>
                    </w:rPr>
                    <w:t>0.043</w:t>
                  </w:r>
                </w:p>
              </w:tc>
              <w:tc>
                <w:tcPr>
                  <w:tcW w:w="542" w:type="pct"/>
                  <w:vMerge w:val="continue"/>
                  <w:tcBorders>
                    <w:tl2br w:val="nil"/>
                    <w:tr2bl w:val="nil"/>
                  </w:tcBorders>
                  <w:vAlign w:val="center"/>
                </w:tcPr>
                <w:p>
                  <w:pPr>
                    <w:pStyle w:val="68"/>
                    <w:rPr>
                      <w:color w:val="auto"/>
                    </w:rPr>
                  </w:pPr>
                </w:p>
              </w:tc>
            </w:tr>
          </w:tbl>
          <w:p>
            <w:pPr>
              <w:spacing w:before="120" w:beforeLines="50" w:line="360" w:lineRule="auto"/>
              <w:ind w:left="482"/>
              <w:rPr>
                <w:b/>
                <w:sz w:val="24"/>
              </w:rPr>
            </w:pPr>
            <w:r>
              <w:rPr>
                <w:rFonts w:hint="eastAsia"/>
                <w:b/>
                <w:sz w:val="24"/>
              </w:rPr>
              <w:t>2、</w:t>
            </w:r>
            <w:r>
              <w:rPr>
                <w:b/>
                <w:sz w:val="24"/>
              </w:rPr>
              <w:t>废水类别、污染物及</w:t>
            </w:r>
            <w:r>
              <w:rPr>
                <w:rFonts w:hint="eastAsia"/>
                <w:b/>
                <w:sz w:val="24"/>
              </w:rPr>
              <w:t>排放口信息</w:t>
            </w:r>
          </w:p>
          <w:p>
            <w:pPr>
              <w:spacing w:line="360" w:lineRule="auto"/>
              <w:jc w:val="center"/>
              <w:rPr>
                <w:b/>
                <w:bCs/>
                <w:sz w:val="24"/>
              </w:rPr>
            </w:pPr>
            <w:r>
              <w:rPr>
                <w:b/>
                <w:bCs/>
                <w:sz w:val="24"/>
              </w:rPr>
              <w:t>表</w:t>
            </w:r>
            <w:r>
              <w:rPr>
                <w:rFonts w:hint="eastAsia"/>
                <w:b/>
                <w:bCs/>
                <w:sz w:val="24"/>
              </w:rPr>
              <w:t xml:space="preserve">4-9 </w:t>
            </w:r>
            <w:r>
              <w:rPr>
                <w:b/>
                <w:bCs/>
                <w:sz w:val="24"/>
              </w:rPr>
              <w:t xml:space="preserve"> 废水类别、污染物及</w:t>
            </w:r>
            <w:r>
              <w:rPr>
                <w:rFonts w:hint="eastAsia"/>
                <w:b/>
                <w:bCs/>
                <w:sz w:val="24"/>
              </w:rPr>
              <w:t>排放口</w:t>
            </w:r>
            <w:r>
              <w:rPr>
                <w:b/>
                <w:bCs/>
                <w:sz w:val="24"/>
              </w:rPr>
              <w:t>信息表</w:t>
            </w:r>
          </w:p>
          <w:tbl>
            <w:tblPr>
              <w:tblStyle w:val="22"/>
              <w:tblW w:w="82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6"/>
              <w:gridCol w:w="579"/>
              <w:gridCol w:w="858"/>
              <w:gridCol w:w="579"/>
              <w:gridCol w:w="964"/>
              <w:gridCol w:w="713"/>
              <w:gridCol w:w="1247"/>
              <w:gridCol w:w="688"/>
              <w:gridCol w:w="537"/>
              <w:gridCol w:w="662"/>
              <w:gridCol w:w="10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16" w:type="pct"/>
                  <w:vMerge w:val="restart"/>
                  <w:tcBorders>
                    <w:tl2br w:val="nil"/>
                    <w:tr2bl w:val="nil"/>
                  </w:tcBorders>
                  <w:vAlign w:val="center"/>
                </w:tcPr>
                <w:p>
                  <w:pPr>
                    <w:pStyle w:val="68"/>
                    <w:rPr>
                      <w:b/>
                      <w:bCs w:val="0"/>
                      <w:color w:val="auto"/>
                    </w:rPr>
                  </w:pPr>
                  <w:r>
                    <w:rPr>
                      <w:b/>
                      <w:bCs w:val="0"/>
                      <w:color w:val="auto"/>
                    </w:rPr>
                    <w:t>序号</w:t>
                  </w:r>
                </w:p>
              </w:tc>
              <w:tc>
                <w:tcPr>
                  <w:tcW w:w="352" w:type="pct"/>
                  <w:vMerge w:val="restart"/>
                  <w:tcBorders>
                    <w:tl2br w:val="nil"/>
                    <w:tr2bl w:val="nil"/>
                  </w:tcBorders>
                  <w:vAlign w:val="center"/>
                </w:tcPr>
                <w:p>
                  <w:pPr>
                    <w:pStyle w:val="68"/>
                    <w:rPr>
                      <w:b/>
                      <w:bCs w:val="0"/>
                      <w:color w:val="auto"/>
                    </w:rPr>
                  </w:pPr>
                  <w:r>
                    <w:rPr>
                      <w:b/>
                      <w:bCs w:val="0"/>
                      <w:color w:val="auto"/>
                    </w:rPr>
                    <w:t>废水类别</w:t>
                  </w:r>
                </w:p>
              </w:tc>
              <w:tc>
                <w:tcPr>
                  <w:tcW w:w="522" w:type="pct"/>
                  <w:vMerge w:val="restart"/>
                  <w:tcBorders>
                    <w:tl2br w:val="nil"/>
                    <w:tr2bl w:val="nil"/>
                  </w:tcBorders>
                  <w:vAlign w:val="center"/>
                </w:tcPr>
                <w:p>
                  <w:pPr>
                    <w:pStyle w:val="68"/>
                    <w:rPr>
                      <w:b/>
                      <w:bCs w:val="0"/>
                      <w:color w:val="auto"/>
                    </w:rPr>
                  </w:pPr>
                  <w:r>
                    <w:rPr>
                      <w:b/>
                      <w:bCs w:val="0"/>
                      <w:color w:val="auto"/>
                    </w:rPr>
                    <w:t>污染物种类</w:t>
                  </w:r>
                </w:p>
              </w:tc>
              <w:tc>
                <w:tcPr>
                  <w:tcW w:w="352" w:type="pct"/>
                  <w:vMerge w:val="restart"/>
                  <w:tcBorders>
                    <w:tl2br w:val="nil"/>
                    <w:tr2bl w:val="nil"/>
                  </w:tcBorders>
                  <w:vAlign w:val="center"/>
                </w:tcPr>
                <w:p>
                  <w:pPr>
                    <w:pStyle w:val="68"/>
                    <w:rPr>
                      <w:b/>
                      <w:bCs w:val="0"/>
                      <w:color w:val="auto"/>
                    </w:rPr>
                  </w:pPr>
                  <w:r>
                    <w:rPr>
                      <w:b/>
                      <w:bCs w:val="0"/>
                      <w:color w:val="auto"/>
                    </w:rPr>
                    <w:t>排放去向</w:t>
                  </w:r>
                </w:p>
              </w:tc>
              <w:tc>
                <w:tcPr>
                  <w:tcW w:w="586" w:type="pct"/>
                  <w:vMerge w:val="restart"/>
                  <w:tcBorders>
                    <w:tl2br w:val="nil"/>
                    <w:tr2bl w:val="nil"/>
                  </w:tcBorders>
                  <w:vAlign w:val="center"/>
                </w:tcPr>
                <w:p>
                  <w:pPr>
                    <w:pStyle w:val="68"/>
                    <w:rPr>
                      <w:b/>
                      <w:bCs w:val="0"/>
                      <w:color w:val="auto"/>
                    </w:rPr>
                  </w:pPr>
                  <w:r>
                    <w:rPr>
                      <w:b/>
                      <w:bCs w:val="0"/>
                      <w:color w:val="auto"/>
                    </w:rPr>
                    <w:t>排放规律</w:t>
                  </w:r>
                </w:p>
              </w:tc>
              <w:tc>
                <w:tcPr>
                  <w:tcW w:w="1612" w:type="pct"/>
                  <w:gridSpan w:val="3"/>
                  <w:tcBorders>
                    <w:tl2br w:val="nil"/>
                    <w:tr2bl w:val="nil"/>
                  </w:tcBorders>
                  <w:vAlign w:val="center"/>
                </w:tcPr>
                <w:p>
                  <w:pPr>
                    <w:pStyle w:val="68"/>
                    <w:rPr>
                      <w:b/>
                      <w:bCs w:val="0"/>
                      <w:color w:val="auto"/>
                    </w:rPr>
                  </w:pPr>
                  <w:r>
                    <w:rPr>
                      <w:b/>
                      <w:bCs w:val="0"/>
                      <w:color w:val="auto"/>
                    </w:rPr>
                    <w:t>污染治理设施</w:t>
                  </w:r>
                </w:p>
              </w:tc>
              <w:tc>
                <w:tcPr>
                  <w:tcW w:w="327" w:type="pct"/>
                  <w:vMerge w:val="restart"/>
                  <w:tcBorders>
                    <w:tl2br w:val="nil"/>
                    <w:tr2bl w:val="nil"/>
                  </w:tcBorders>
                  <w:vAlign w:val="center"/>
                </w:tcPr>
                <w:p>
                  <w:pPr>
                    <w:pStyle w:val="68"/>
                    <w:rPr>
                      <w:b/>
                      <w:bCs w:val="0"/>
                      <w:color w:val="auto"/>
                    </w:rPr>
                  </w:pPr>
                  <w:r>
                    <w:rPr>
                      <w:b/>
                      <w:bCs w:val="0"/>
                      <w:color w:val="auto"/>
                    </w:rPr>
                    <w:t>排放口编号</w:t>
                  </w:r>
                </w:p>
              </w:tc>
              <w:tc>
                <w:tcPr>
                  <w:tcW w:w="403" w:type="pct"/>
                  <w:vMerge w:val="restart"/>
                  <w:tcBorders>
                    <w:tl2br w:val="nil"/>
                    <w:tr2bl w:val="nil"/>
                  </w:tcBorders>
                  <w:vAlign w:val="center"/>
                </w:tcPr>
                <w:p>
                  <w:pPr>
                    <w:pStyle w:val="68"/>
                    <w:rPr>
                      <w:b/>
                      <w:bCs w:val="0"/>
                      <w:color w:val="auto"/>
                    </w:rPr>
                  </w:pPr>
                  <w:r>
                    <w:rPr>
                      <w:b/>
                      <w:bCs w:val="0"/>
                      <w:color w:val="auto"/>
                    </w:rPr>
                    <w:t>排放口设置是否符合要求</w:t>
                  </w:r>
                </w:p>
              </w:tc>
              <w:tc>
                <w:tcPr>
                  <w:tcW w:w="627" w:type="pct"/>
                  <w:vMerge w:val="restart"/>
                  <w:tcBorders>
                    <w:tl2br w:val="nil"/>
                    <w:tr2bl w:val="nil"/>
                  </w:tcBorders>
                  <w:vAlign w:val="center"/>
                </w:tcPr>
                <w:p>
                  <w:pPr>
                    <w:pStyle w:val="68"/>
                    <w:rPr>
                      <w:b/>
                      <w:bCs w:val="0"/>
                      <w:color w:val="auto"/>
                    </w:rPr>
                  </w:pPr>
                  <w:r>
                    <w:rPr>
                      <w:b/>
                      <w:bCs w:val="0"/>
                      <w:color w:val="auto"/>
                    </w:rPr>
                    <w:t>排放口类型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16" w:type="pct"/>
                  <w:vMerge w:val="continue"/>
                  <w:tcBorders>
                    <w:tl2br w:val="nil"/>
                    <w:tr2bl w:val="nil"/>
                  </w:tcBorders>
                  <w:vAlign w:val="center"/>
                </w:tcPr>
                <w:p>
                  <w:pPr>
                    <w:pStyle w:val="68"/>
                    <w:rPr>
                      <w:color w:val="auto"/>
                    </w:rPr>
                  </w:pPr>
                </w:p>
              </w:tc>
              <w:tc>
                <w:tcPr>
                  <w:tcW w:w="352" w:type="pct"/>
                  <w:vMerge w:val="continue"/>
                  <w:tcBorders>
                    <w:tl2br w:val="nil"/>
                    <w:tr2bl w:val="nil"/>
                  </w:tcBorders>
                  <w:vAlign w:val="center"/>
                </w:tcPr>
                <w:p>
                  <w:pPr>
                    <w:pStyle w:val="68"/>
                    <w:rPr>
                      <w:color w:val="auto"/>
                    </w:rPr>
                  </w:pPr>
                </w:p>
              </w:tc>
              <w:tc>
                <w:tcPr>
                  <w:tcW w:w="522" w:type="pct"/>
                  <w:vMerge w:val="continue"/>
                  <w:tcBorders>
                    <w:tl2br w:val="nil"/>
                    <w:tr2bl w:val="nil"/>
                  </w:tcBorders>
                  <w:vAlign w:val="center"/>
                </w:tcPr>
                <w:p>
                  <w:pPr>
                    <w:pStyle w:val="68"/>
                    <w:rPr>
                      <w:color w:val="auto"/>
                    </w:rPr>
                  </w:pPr>
                </w:p>
              </w:tc>
              <w:tc>
                <w:tcPr>
                  <w:tcW w:w="352" w:type="pct"/>
                  <w:vMerge w:val="continue"/>
                  <w:tcBorders>
                    <w:tl2br w:val="nil"/>
                    <w:tr2bl w:val="nil"/>
                  </w:tcBorders>
                  <w:vAlign w:val="center"/>
                </w:tcPr>
                <w:p>
                  <w:pPr>
                    <w:pStyle w:val="68"/>
                    <w:rPr>
                      <w:color w:val="auto"/>
                    </w:rPr>
                  </w:pPr>
                </w:p>
              </w:tc>
              <w:tc>
                <w:tcPr>
                  <w:tcW w:w="586" w:type="pct"/>
                  <w:vMerge w:val="continue"/>
                  <w:tcBorders>
                    <w:tl2br w:val="nil"/>
                    <w:tr2bl w:val="nil"/>
                  </w:tcBorders>
                  <w:vAlign w:val="center"/>
                </w:tcPr>
                <w:p>
                  <w:pPr>
                    <w:pStyle w:val="68"/>
                    <w:rPr>
                      <w:color w:val="auto"/>
                    </w:rPr>
                  </w:pPr>
                </w:p>
              </w:tc>
              <w:tc>
                <w:tcPr>
                  <w:tcW w:w="434" w:type="pct"/>
                  <w:tcBorders>
                    <w:tl2br w:val="nil"/>
                    <w:tr2bl w:val="nil"/>
                  </w:tcBorders>
                  <w:vAlign w:val="center"/>
                </w:tcPr>
                <w:p>
                  <w:pPr>
                    <w:pStyle w:val="68"/>
                    <w:rPr>
                      <w:b/>
                      <w:bCs w:val="0"/>
                      <w:color w:val="auto"/>
                    </w:rPr>
                  </w:pPr>
                  <w:r>
                    <w:rPr>
                      <w:b/>
                      <w:bCs w:val="0"/>
                      <w:color w:val="auto"/>
                    </w:rPr>
                    <w:t>污染治理设施编号</w:t>
                  </w:r>
                </w:p>
              </w:tc>
              <w:tc>
                <w:tcPr>
                  <w:tcW w:w="759" w:type="pct"/>
                  <w:tcBorders>
                    <w:tl2br w:val="nil"/>
                    <w:tr2bl w:val="nil"/>
                  </w:tcBorders>
                  <w:vAlign w:val="center"/>
                </w:tcPr>
                <w:p>
                  <w:pPr>
                    <w:pStyle w:val="68"/>
                    <w:rPr>
                      <w:b/>
                      <w:bCs w:val="0"/>
                      <w:color w:val="auto"/>
                    </w:rPr>
                  </w:pPr>
                  <w:r>
                    <w:rPr>
                      <w:b/>
                      <w:bCs w:val="0"/>
                      <w:color w:val="auto"/>
                    </w:rPr>
                    <w:t>污染治理设施名称</w:t>
                  </w:r>
                </w:p>
              </w:tc>
              <w:tc>
                <w:tcPr>
                  <w:tcW w:w="418" w:type="pct"/>
                  <w:tcBorders>
                    <w:tl2br w:val="nil"/>
                    <w:tr2bl w:val="nil"/>
                  </w:tcBorders>
                  <w:vAlign w:val="center"/>
                </w:tcPr>
                <w:p>
                  <w:pPr>
                    <w:pStyle w:val="68"/>
                    <w:rPr>
                      <w:b/>
                      <w:bCs w:val="0"/>
                      <w:color w:val="auto"/>
                    </w:rPr>
                  </w:pPr>
                  <w:r>
                    <w:rPr>
                      <w:b/>
                      <w:bCs w:val="0"/>
                      <w:color w:val="auto"/>
                    </w:rPr>
                    <w:t>污染治理设施工艺</w:t>
                  </w:r>
                </w:p>
              </w:tc>
              <w:tc>
                <w:tcPr>
                  <w:tcW w:w="327" w:type="pct"/>
                  <w:vMerge w:val="continue"/>
                  <w:tcBorders>
                    <w:tl2br w:val="nil"/>
                    <w:tr2bl w:val="nil"/>
                  </w:tcBorders>
                  <w:vAlign w:val="center"/>
                </w:tcPr>
                <w:p>
                  <w:pPr>
                    <w:pStyle w:val="68"/>
                    <w:rPr>
                      <w:color w:val="auto"/>
                    </w:rPr>
                  </w:pPr>
                </w:p>
              </w:tc>
              <w:tc>
                <w:tcPr>
                  <w:tcW w:w="403" w:type="pct"/>
                  <w:vMerge w:val="continue"/>
                  <w:tcBorders>
                    <w:tl2br w:val="nil"/>
                    <w:tr2bl w:val="nil"/>
                  </w:tcBorders>
                  <w:vAlign w:val="center"/>
                </w:tcPr>
                <w:p>
                  <w:pPr>
                    <w:pStyle w:val="68"/>
                    <w:rPr>
                      <w:color w:val="auto"/>
                    </w:rPr>
                  </w:pPr>
                </w:p>
              </w:tc>
              <w:tc>
                <w:tcPr>
                  <w:tcW w:w="627" w:type="pct"/>
                  <w:vMerge w:val="continue"/>
                  <w:tcBorders>
                    <w:tl2br w:val="nil"/>
                    <w:tr2bl w:val="nil"/>
                  </w:tcBorders>
                  <w:vAlign w:val="center"/>
                </w:tcPr>
                <w:p>
                  <w:pPr>
                    <w:pStyle w:val="68"/>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16" w:type="pct"/>
                  <w:tcBorders>
                    <w:tl2br w:val="nil"/>
                    <w:tr2bl w:val="nil"/>
                  </w:tcBorders>
                  <w:vAlign w:val="center"/>
                </w:tcPr>
                <w:p>
                  <w:pPr>
                    <w:pStyle w:val="68"/>
                    <w:rPr>
                      <w:color w:val="auto"/>
                    </w:rPr>
                  </w:pPr>
                  <w:r>
                    <w:rPr>
                      <w:color w:val="auto"/>
                    </w:rPr>
                    <w:t>1</w:t>
                  </w:r>
                </w:p>
              </w:tc>
              <w:tc>
                <w:tcPr>
                  <w:tcW w:w="352" w:type="pct"/>
                  <w:tcBorders>
                    <w:tl2br w:val="nil"/>
                    <w:tr2bl w:val="nil"/>
                  </w:tcBorders>
                  <w:vAlign w:val="center"/>
                </w:tcPr>
                <w:p>
                  <w:pPr>
                    <w:pStyle w:val="68"/>
                    <w:rPr>
                      <w:color w:val="auto"/>
                    </w:rPr>
                  </w:pPr>
                  <w:r>
                    <w:rPr>
                      <w:color w:val="auto"/>
                    </w:rPr>
                    <w:t>生产废水</w:t>
                  </w:r>
                </w:p>
              </w:tc>
              <w:tc>
                <w:tcPr>
                  <w:tcW w:w="522" w:type="pct"/>
                  <w:tcBorders>
                    <w:tl2br w:val="nil"/>
                    <w:tr2bl w:val="nil"/>
                  </w:tcBorders>
                  <w:vAlign w:val="center"/>
                </w:tcPr>
                <w:p>
                  <w:pPr>
                    <w:pStyle w:val="68"/>
                    <w:rPr>
                      <w:color w:val="auto"/>
                    </w:rPr>
                  </w:pPr>
                  <w:r>
                    <w:rPr>
                      <w:color w:val="auto"/>
                    </w:rPr>
                    <w:t>COD、</w:t>
                  </w:r>
                  <w:r>
                    <w:rPr>
                      <w:rFonts w:hint="eastAsia"/>
                      <w:color w:val="auto"/>
                    </w:rPr>
                    <w:t>BOD</w:t>
                  </w:r>
                  <w:r>
                    <w:rPr>
                      <w:rFonts w:hint="eastAsia"/>
                      <w:color w:val="auto"/>
                      <w:vertAlign w:val="subscript"/>
                    </w:rPr>
                    <w:t>5</w:t>
                  </w:r>
                  <w:r>
                    <w:rPr>
                      <w:rFonts w:hint="eastAsia"/>
                      <w:color w:val="auto"/>
                    </w:rPr>
                    <w:t>、</w:t>
                  </w:r>
                  <w:r>
                    <w:rPr>
                      <w:color w:val="auto"/>
                    </w:rPr>
                    <w:t>SS、NH</w:t>
                  </w:r>
                  <w:r>
                    <w:rPr>
                      <w:color w:val="auto"/>
                      <w:vertAlign w:val="subscript"/>
                    </w:rPr>
                    <w:t>3</w:t>
                  </w:r>
                  <w:r>
                    <w:rPr>
                      <w:color w:val="auto"/>
                    </w:rPr>
                    <w:t>-N、</w:t>
                  </w:r>
                </w:p>
                <w:p>
                  <w:pPr>
                    <w:pStyle w:val="68"/>
                    <w:rPr>
                      <w:color w:val="auto"/>
                    </w:rPr>
                  </w:pPr>
                  <w:r>
                    <w:rPr>
                      <w:color w:val="auto"/>
                    </w:rPr>
                    <w:t>TP</w:t>
                  </w:r>
                </w:p>
              </w:tc>
              <w:tc>
                <w:tcPr>
                  <w:tcW w:w="352" w:type="pct"/>
                  <w:vMerge w:val="restart"/>
                  <w:tcBorders>
                    <w:tl2br w:val="nil"/>
                    <w:tr2bl w:val="nil"/>
                  </w:tcBorders>
                  <w:vAlign w:val="center"/>
                </w:tcPr>
                <w:p>
                  <w:pPr>
                    <w:pStyle w:val="68"/>
                    <w:rPr>
                      <w:color w:val="auto"/>
                    </w:rPr>
                  </w:pPr>
                  <w:r>
                    <w:rPr>
                      <w:rFonts w:hint="eastAsia"/>
                      <w:color w:val="auto"/>
                      <w:kern w:val="0"/>
                    </w:rPr>
                    <w:t>滁州第二</w:t>
                  </w:r>
                  <w:r>
                    <w:rPr>
                      <w:color w:val="auto"/>
                      <w:kern w:val="0"/>
                    </w:rPr>
                    <w:t>污水处理厂</w:t>
                  </w:r>
                </w:p>
              </w:tc>
              <w:tc>
                <w:tcPr>
                  <w:tcW w:w="586" w:type="pct"/>
                  <w:vMerge w:val="restart"/>
                  <w:tcBorders>
                    <w:tl2br w:val="nil"/>
                    <w:tr2bl w:val="nil"/>
                  </w:tcBorders>
                  <w:vAlign w:val="center"/>
                </w:tcPr>
                <w:p>
                  <w:pPr>
                    <w:pStyle w:val="68"/>
                    <w:rPr>
                      <w:color w:val="auto"/>
                    </w:rPr>
                  </w:pPr>
                  <w:r>
                    <w:rPr>
                      <w:color w:val="auto"/>
                    </w:rPr>
                    <w:t>连续排放，流量不稳定且无规律，但不属于冲击型排放</w:t>
                  </w:r>
                </w:p>
              </w:tc>
              <w:tc>
                <w:tcPr>
                  <w:tcW w:w="434" w:type="pct"/>
                  <w:tcBorders>
                    <w:tl2br w:val="nil"/>
                    <w:tr2bl w:val="nil"/>
                  </w:tcBorders>
                  <w:vAlign w:val="center"/>
                </w:tcPr>
                <w:p>
                  <w:pPr>
                    <w:pStyle w:val="68"/>
                    <w:rPr>
                      <w:color w:val="auto"/>
                    </w:rPr>
                  </w:pPr>
                  <w:r>
                    <w:rPr>
                      <w:color w:val="auto"/>
                    </w:rPr>
                    <w:t>TW001</w:t>
                  </w:r>
                </w:p>
              </w:tc>
              <w:tc>
                <w:tcPr>
                  <w:tcW w:w="759" w:type="pct"/>
                  <w:tcBorders>
                    <w:tl2br w:val="nil"/>
                    <w:tr2bl w:val="nil"/>
                  </w:tcBorders>
                  <w:vAlign w:val="center"/>
                </w:tcPr>
                <w:p>
                  <w:pPr>
                    <w:pStyle w:val="68"/>
                    <w:rPr>
                      <w:color w:val="auto"/>
                    </w:rPr>
                  </w:pPr>
                  <w:r>
                    <w:rPr>
                      <w:color w:val="auto"/>
                      <w:kern w:val="0"/>
                    </w:rPr>
                    <w:t>厂区污水站“</w:t>
                  </w:r>
                  <w:r>
                    <w:rPr>
                      <w:rFonts w:hint="eastAsia"/>
                      <w:color w:val="auto"/>
                      <w:kern w:val="0"/>
                    </w:rPr>
                    <w:t>调节+气浮+水解酸化+接触氧化+二沉池</w:t>
                  </w:r>
                  <w:r>
                    <w:rPr>
                      <w:color w:val="auto"/>
                      <w:kern w:val="0"/>
                    </w:rPr>
                    <w:t>”</w:t>
                  </w:r>
                </w:p>
              </w:tc>
              <w:tc>
                <w:tcPr>
                  <w:tcW w:w="418" w:type="pct"/>
                  <w:tcBorders>
                    <w:tl2br w:val="nil"/>
                    <w:tr2bl w:val="nil"/>
                  </w:tcBorders>
                  <w:vAlign w:val="center"/>
                </w:tcPr>
                <w:p>
                  <w:pPr>
                    <w:pStyle w:val="68"/>
                    <w:rPr>
                      <w:color w:val="auto"/>
                    </w:rPr>
                  </w:pPr>
                  <w:r>
                    <w:rPr>
                      <w:color w:val="auto"/>
                    </w:rPr>
                    <w:t>/</w:t>
                  </w:r>
                </w:p>
              </w:tc>
              <w:tc>
                <w:tcPr>
                  <w:tcW w:w="327" w:type="pct"/>
                  <w:vMerge w:val="restart"/>
                  <w:tcBorders>
                    <w:tl2br w:val="nil"/>
                    <w:tr2bl w:val="nil"/>
                  </w:tcBorders>
                  <w:vAlign w:val="center"/>
                </w:tcPr>
                <w:p>
                  <w:pPr>
                    <w:pStyle w:val="68"/>
                    <w:rPr>
                      <w:color w:val="auto"/>
                    </w:rPr>
                  </w:pPr>
                  <w:r>
                    <w:rPr>
                      <w:color w:val="auto"/>
                    </w:rPr>
                    <w:t>1#</w:t>
                  </w:r>
                </w:p>
              </w:tc>
              <w:tc>
                <w:tcPr>
                  <w:tcW w:w="403" w:type="pct"/>
                  <w:vMerge w:val="restart"/>
                  <w:tcBorders>
                    <w:tl2br w:val="nil"/>
                    <w:tr2bl w:val="nil"/>
                  </w:tcBorders>
                  <w:vAlign w:val="center"/>
                </w:tcPr>
                <w:p>
                  <w:pPr>
                    <w:pStyle w:val="68"/>
                    <w:rPr>
                      <w:color w:val="auto"/>
                    </w:rPr>
                  </w:pPr>
                  <w:r>
                    <w:rPr>
                      <w:color w:val="auto"/>
                    </w:rPr>
                    <w:sym w:font="Wingdings 2" w:char="0052"/>
                  </w:r>
                  <w:r>
                    <w:rPr>
                      <w:color w:val="auto"/>
                    </w:rPr>
                    <w:t>是</w:t>
                  </w:r>
                </w:p>
                <w:p>
                  <w:pPr>
                    <w:pStyle w:val="68"/>
                    <w:rPr>
                      <w:color w:val="auto"/>
                    </w:rPr>
                  </w:pPr>
                  <w:r>
                    <w:rPr>
                      <w:color w:val="auto"/>
                    </w:rPr>
                    <w:t>□ 否</w:t>
                  </w:r>
                </w:p>
              </w:tc>
              <w:tc>
                <w:tcPr>
                  <w:tcW w:w="627" w:type="pct"/>
                  <w:vMerge w:val="restart"/>
                  <w:tcBorders>
                    <w:tl2br w:val="nil"/>
                    <w:tr2bl w:val="nil"/>
                  </w:tcBorders>
                  <w:vAlign w:val="center"/>
                </w:tcPr>
                <w:p>
                  <w:pPr>
                    <w:pStyle w:val="68"/>
                    <w:rPr>
                      <w:color w:val="auto"/>
                    </w:rPr>
                  </w:pPr>
                  <w:r>
                    <w:rPr>
                      <w:color w:val="auto"/>
                    </w:rPr>
                    <w:sym w:font="Wingdings 2" w:char="0052"/>
                  </w:r>
                  <w:r>
                    <w:rPr>
                      <w:color w:val="auto"/>
                    </w:rPr>
                    <w:t>企业总排放</w:t>
                  </w:r>
                </w:p>
                <w:p>
                  <w:pPr>
                    <w:pStyle w:val="68"/>
                    <w:rPr>
                      <w:color w:val="auto"/>
                    </w:rPr>
                  </w:pPr>
                  <w:r>
                    <w:rPr>
                      <w:color w:val="auto"/>
                    </w:rPr>
                    <w:t>□雨水排放</w:t>
                  </w:r>
                </w:p>
                <w:p>
                  <w:pPr>
                    <w:pStyle w:val="68"/>
                    <w:rPr>
                      <w:color w:val="auto"/>
                    </w:rPr>
                  </w:pPr>
                  <w:r>
                    <w:rPr>
                      <w:color w:val="auto"/>
                    </w:rPr>
                    <w:t>□清净下水排放</w:t>
                  </w:r>
                </w:p>
                <w:p>
                  <w:pPr>
                    <w:pStyle w:val="68"/>
                    <w:rPr>
                      <w:color w:val="auto"/>
                    </w:rPr>
                  </w:pPr>
                  <w:r>
                    <w:rPr>
                      <w:color w:val="auto"/>
                    </w:rPr>
                    <w:t>□温排水排放</w:t>
                  </w:r>
                </w:p>
                <w:p>
                  <w:pPr>
                    <w:pStyle w:val="68"/>
                    <w:rPr>
                      <w:color w:val="auto"/>
                    </w:rPr>
                  </w:pPr>
                  <w:r>
                    <w:rPr>
                      <w:color w:val="auto"/>
                    </w:rPr>
                    <w:t>□车间或车间处理设施排放口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16" w:type="pct"/>
                  <w:tcBorders>
                    <w:tl2br w:val="nil"/>
                    <w:tr2bl w:val="nil"/>
                  </w:tcBorders>
                  <w:vAlign w:val="center"/>
                </w:tcPr>
                <w:p>
                  <w:pPr>
                    <w:pStyle w:val="68"/>
                    <w:rPr>
                      <w:color w:val="auto"/>
                    </w:rPr>
                  </w:pPr>
                  <w:r>
                    <w:rPr>
                      <w:color w:val="auto"/>
                    </w:rPr>
                    <w:t>2</w:t>
                  </w:r>
                </w:p>
              </w:tc>
              <w:tc>
                <w:tcPr>
                  <w:tcW w:w="352" w:type="pct"/>
                  <w:tcBorders>
                    <w:tl2br w:val="nil"/>
                    <w:tr2bl w:val="nil"/>
                  </w:tcBorders>
                  <w:vAlign w:val="center"/>
                </w:tcPr>
                <w:p>
                  <w:pPr>
                    <w:pStyle w:val="68"/>
                    <w:rPr>
                      <w:color w:val="auto"/>
                    </w:rPr>
                  </w:pPr>
                  <w:r>
                    <w:rPr>
                      <w:color w:val="auto"/>
                    </w:rPr>
                    <w:t>生活废水</w:t>
                  </w:r>
                </w:p>
              </w:tc>
              <w:tc>
                <w:tcPr>
                  <w:tcW w:w="522" w:type="pct"/>
                  <w:tcBorders>
                    <w:tl2br w:val="nil"/>
                    <w:tr2bl w:val="nil"/>
                  </w:tcBorders>
                  <w:vAlign w:val="center"/>
                </w:tcPr>
                <w:p>
                  <w:pPr>
                    <w:pStyle w:val="68"/>
                    <w:rPr>
                      <w:color w:val="auto"/>
                    </w:rPr>
                  </w:pPr>
                  <w:r>
                    <w:rPr>
                      <w:color w:val="auto"/>
                    </w:rPr>
                    <w:t>COD、SS、NH</w:t>
                  </w:r>
                  <w:r>
                    <w:rPr>
                      <w:color w:val="auto"/>
                      <w:vertAlign w:val="subscript"/>
                    </w:rPr>
                    <w:t>3</w:t>
                  </w:r>
                  <w:r>
                    <w:rPr>
                      <w:color w:val="auto"/>
                    </w:rPr>
                    <w:t>-N</w:t>
                  </w:r>
                </w:p>
                <w:p>
                  <w:pPr>
                    <w:pStyle w:val="68"/>
                    <w:rPr>
                      <w:color w:val="auto"/>
                    </w:rPr>
                  </w:pPr>
                  <w:r>
                    <w:rPr>
                      <w:color w:val="auto"/>
                    </w:rPr>
                    <w:t>、TP、动植物油</w:t>
                  </w:r>
                </w:p>
              </w:tc>
              <w:tc>
                <w:tcPr>
                  <w:tcW w:w="352" w:type="pct"/>
                  <w:vMerge w:val="continue"/>
                  <w:tcBorders>
                    <w:tl2br w:val="nil"/>
                    <w:tr2bl w:val="nil"/>
                  </w:tcBorders>
                  <w:vAlign w:val="center"/>
                </w:tcPr>
                <w:p>
                  <w:pPr>
                    <w:pStyle w:val="68"/>
                    <w:rPr>
                      <w:color w:val="auto"/>
                    </w:rPr>
                  </w:pPr>
                </w:p>
              </w:tc>
              <w:tc>
                <w:tcPr>
                  <w:tcW w:w="586" w:type="pct"/>
                  <w:vMerge w:val="continue"/>
                  <w:tcBorders>
                    <w:tl2br w:val="nil"/>
                    <w:tr2bl w:val="nil"/>
                  </w:tcBorders>
                  <w:vAlign w:val="center"/>
                </w:tcPr>
                <w:p>
                  <w:pPr>
                    <w:pStyle w:val="68"/>
                    <w:rPr>
                      <w:color w:val="auto"/>
                    </w:rPr>
                  </w:pPr>
                </w:p>
              </w:tc>
              <w:tc>
                <w:tcPr>
                  <w:tcW w:w="434" w:type="pct"/>
                  <w:tcBorders>
                    <w:tl2br w:val="nil"/>
                    <w:tr2bl w:val="nil"/>
                  </w:tcBorders>
                  <w:vAlign w:val="center"/>
                </w:tcPr>
                <w:p>
                  <w:pPr>
                    <w:pStyle w:val="68"/>
                    <w:rPr>
                      <w:color w:val="auto"/>
                    </w:rPr>
                  </w:pPr>
                  <w:r>
                    <w:rPr>
                      <w:color w:val="auto"/>
                    </w:rPr>
                    <w:t>TW002</w:t>
                  </w:r>
                </w:p>
              </w:tc>
              <w:tc>
                <w:tcPr>
                  <w:tcW w:w="759" w:type="pct"/>
                  <w:tcBorders>
                    <w:tl2br w:val="nil"/>
                    <w:tr2bl w:val="nil"/>
                  </w:tcBorders>
                  <w:vAlign w:val="center"/>
                </w:tcPr>
                <w:p>
                  <w:pPr>
                    <w:pStyle w:val="68"/>
                    <w:rPr>
                      <w:color w:val="auto"/>
                    </w:rPr>
                  </w:pPr>
                  <w:r>
                    <w:rPr>
                      <w:color w:val="auto"/>
                    </w:rPr>
                    <w:t>化粪池</w:t>
                  </w:r>
                  <w:r>
                    <w:rPr>
                      <w:rFonts w:hint="eastAsia"/>
                      <w:color w:val="auto"/>
                    </w:rPr>
                    <w:t>+污水处理站</w:t>
                  </w:r>
                </w:p>
              </w:tc>
              <w:tc>
                <w:tcPr>
                  <w:tcW w:w="418" w:type="pct"/>
                  <w:tcBorders>
                    <w:tl2br w:val="nil"/>
                    <w:tr2bl w:val="nil"/>
                  </w:tcBorders>
                  <w:vAlign w:val="center"/>
                </w:tcPr>
                <w:p>
                  <w:pPr>
                    <w:pStyle w:val="68"/>
                    <w:rPr>
                      <w:color w:val="auto"/>
                    </w:rPr>
                  </w:pPr>
                  <w:r>
                    <w:rPr>
                      <w:color w:val="auto"/>
                    </w:rPr>
                    <w:t>/</w:t>
                  </w:r>
                </w:p>
              </w:tc>
              <w:tc>
                <w:tcPr>
                  <w:tcW w:w="327" w:type="pct"/>
                  <w:vMerge w:val="continue"/>
                  <w:tcBorders>
                    <w:tl2br w:val="nil"/>
                    <w:tr2bl w:val="nil"/>
                  </w:tcBorders>
                  <w:vAlign w:val="center"/>
                </w:tcPr>
                <w:p>
                  <w:pPr>
                    <w:pStyle w:val="68"/>
                    <w:rPr>
                      <w:color w:val="auto"/>
                    </w:rPr>
                  </w:pPr>
                </w:p>
              </w:tc>
              <w:tc>
                <w:tcPr>
                  <w:tcW w:w="403" w:type="pct"/>
                  <w:vMerge w:val="continue"/>
                  <w:tcBorders>
                    <w:tl2br w:val="nil"/>
                    <w:tr2bl w:val="nil"/>
                  </w:tcBorders>
                  <w:vAlign w:val="center"/>
                </w:tcPr>
                <w:p>
                  <w:pPr>
                    <w:pStyle w:val="68"/>
                    <w:rPr>
                      <w:color w:val="auto"/>
                    </w:rPr>
                  </w:pPr>
                </w:p>
              </w:tc>
              <w:tc>
                <w:tcPr>
                  <w:tcW w:w="627" w:type="pct"/>
                  <w:vMerge w:val="continue"/>
                  <w:tcBorders>
                    <w:tl2br w:val="nil"/>
                    <w:tr2bl w:val="nil"/>
                  </w:tcBorders>
                  <w:vAlign w:val="center"/>
                </w:tcPr>
                <w:p>
                  <w:pPr>
                    <w:pStyle w:val="68"/>
                    <w:rPr>
                      <w:color w:val="auto"/>
                    </w:rPr>
                  </w:pPr>
                </w:p>
              </w:tc>
            </w:tr>
          </w:tbl>
          <w:p>
            <w:pPr>
              <w:spacing w:before="120" w:beforeLines="50" w:line="360" w:lineRule="auto"/>
              <w:jc w:val="center"/>
              <w:rPr>
                <w:b/>
                <w:bCs/>
                <w:sz w:val="24"/>
              </w:rPr>
            </w:pPr>
            <w:r>
              <w:rPr>
                <w:b/>
                <w:bCs/>
                <w:sz w:val="24"/>
              </w:rPr>
              <w:t>表</w:t>
            </w:r>
            <w:r>
              <w:rPr>
                <w:rFonts w:hint="eastAsia"/>
                <w:b/>
                <w:bCs/>
                <w:sz w:val="24"/>
              </w:rPr>
              <w:t xml:space="preserve">4-10  </w:t>
            </w:r>
            <w:r>
              <w:rPr>
                <w:b/>
                <w:bCs/>
                <w:sz w:val="24"/>
              </w:rPr>
              <w:t xml:space="preserve"> 废水间接排放口基本情况表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
              <w:gridCol w:w="700"/>
              <w:gridCol w:w="838"/>
              <w:gridCol w:w="1052"/>
              <w:gridCol w:w="862"/>
              <w:gridCol w:w="786"/>
              <w:gridCol w:w="699"/>
              <w:gridCol w:w="524"/>
              <w:gridCol w:w="699"/>
              <w:gridCol w:w="83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 w:hRule="atLeast"/>
                <w:jc w:val="center"/>
              </w:trPr>
              <w:tc>
                <w:tcPr>
                  <w:tcW w:w="213" w:type="pct"/>
                  <w:vMerge w:val="restart"/>
                  <w:shd w:val="clear" w:color="auto" w:fill="auto"/>
                  <w:vAlign w:val="center"/>
                </w:tcPr>
                <w:p>
                  <w:pPr>
                    <w:pStyle w:val="68"/>
                    <w:rPr>
                      <w:b/>
                      <w:bCs w:val="0"/>
                      <w:color w:val="auto"/>
                    </w:rPr>
                  </w:pPr>
                  <w:r>
                    <w:rPr>
                      <w:b/>
                      <w:bCs w:val="0"/>
                      <w:color w:val="auto"/>
                    </w:rPr>
                    <w:t>序号</w:t>
                  </w:r>
                </w:p>
              </w:tc>
              <w:tc>
                <w:tcPr>
                  <w:tcW w:w="425" w:type="pct"/>
                  <w:vMerge w:val="restart"/>
                  <w:shd w:val="clear" w:color="auto" w:fill="auto"/>
                  <w:vAlign w:val="center"/>
                </w:tcPr>
                <w:p>
                  <w:pPr>
                    <w:pStyle w:val="68"/>
                    <w:rPr>
                      <w:b/>
                      <w:bCs w:val="0"/>
                      <w:color w:val="auto"/>
                    </w:rPr>
                  </w:pPr>
                  <w:r>
                    <w:rPr>
                      <w:b/>
                      <w:bCs w:val="0"/>
                      <w:color w:val="auto"/>
                    </w:rPr>
                    <w:t>排放口编号</w:t>
                  </w:r>
                </w:p>
              </w:tc>
              <w:tc>
                <w:tcPr>
                  <w:tcW w:w="1147" w:type="pct"/>
                  <w:gridSpan w:val="2"/>
                  <w:shd w:val="clear" w:color="auto" w:fill="auto"/>
                  <w:vAlign w:val="center"/>
                </w:tcPr>
                <w:p>
                  <w:pPr>
                    <w:pStyle w:val="68"/>
                    <w:rPr>
                      <w:b/>
                      <w:bCs w:val="0"/>
                      <w:color w:val="auto"/>
                    </w:rPr>
                  </w:pPr>
                  <w:r>
                    <w:rPr>
                      <w:b/>
                      <w:bCs w:val="0"/>
                      <w:color w:val="auto"/>
                    </w:rPr>
                    <w:t>排放口地理坐标</w:t>
                  </w:r>
                  <w:r>
                    <w:rPr>
                      <w:b/>
                      <w:bCs w:val="0"/>
                      <w:color w:val="auto"/>
                      <w:vertAlign w:val="superscript"/>
                    </w:rPr>
                    <w:t>（a）</w:t>
                  </w:r>
                </w:p>
              </w:tc>
              <w:tc>
                <w:tcPr>
                  <w:tcW w:w="524" w:type="pct"/>
                  <w:vMerge w:val="restart"/>
                  <w:shd w:val="clear" w:color="auto" w:fill="auto"/>
                  <w:vAlign w:val="center"/>
                </w:tcPr>
                <w:p>
                  <w:pPr>
                    <w:pStyle w:val="68"/>
                    <w:rPr>
                      <w:b/>
                      <w:bCs w:val="0"/>
                      <w:color w:val="auto"/>
                    </w:rPr>
                  </w:pPr>
                  <w:r>
                    <w:rPr>
                      <w:b/>
                      <w:bCs w:val="0"/>
                      <w:color w:val="auto"/>
                    </w:rPr>
                    <w:t>废水排放量/（万t/a）</w:t>
                  </w:r>
                </w:p>
              </w:tc>
              <w:tc>
                <w:tcPr>
                  <w:tcW w:w="478" w:type="pct"/>
                  <w:vMerge w:val="restart"/>
                  <w:shd w:val="clear" w:color="auto" w:fill="auto"/>
                  <w:vAlign w:val="center"/>
                </w:tcPr>
                <w:p>
                  <w:pPr>
                    <w:pStyle w:val="68"/>
                    <w:rPr>
                      <w:b/>
                      <w:bCs w:val="0"/>
                      <w:color w:val="auto"/>
                    </w:rPr>
                  </w:pPr>
                  <w:r>
                    <w:rPr>
                      <w:b/>
                      <w:bCs w:val="0"/>
                      <w:color w:val="auto"/>
                    </w:rPr>
                    <w:t>排放去向</w:t>
                  </w:r>
                </w:p>
              </w:tc>
              <w:tc>
                <w:tcPr>
                  <w:tcW w:w="425" w:type="pct"/>
                  <w:vMerge w:val="restart"/>
                  <w:shd w:val="clear" w:color="auto" w:fill="auto"/>
                  <w:vAlign w:val="center"/>
                </w:tcPr>
                <w:p>
                  <w:pPr>
                    <w:pStyle w:val="68"/>
                    <w:rPr>
                      <w:b/>
                      <w:bCs w:val="0"/>
                      <w:color w:val="auto"/>
                    </w:rPr>
                  </w:pPr>
                  <w:r>
                    <w:rPr>
                      <w:b/>
                      <w:bCs w:val="0"/>
                      <w:color w:val="auto"/>
                    </w:rPr>
                    <w:t>排放规律</w:t>
                  </w:r>
                </w:p>
              </w:tc>
              <w:tc>
                <w:tcPr>
                  <w:tcW w:w="319" w:type="pct"/>
                  <w:vMerge w:val="restart"/>
                  <w:shd w:val="clear" w:color="auto" w:fill="auto"/>
                  <w:vAlign w:val="center"/>
                </w:tcPr>
                <w:p>
                  <w:pPr>
                    <w:pStyle w:val="68"/>
                    <w:rPr>
                      <w:b/>
                      <w:bCs w:val="0"/>
                      <w:color w:val="auto"/>
                    </w:rPr>
                  </w:pPr>
                  <w:r>
                    <w:rPr>
                      <w:b/>
                      <w:bCs w:val="0"/>
                      <w:color w:val="auto"/>
                    </w:rPr>
                    <w:t>间歇排放时段</w:t>
                  </w:r>
                </w:p>
              </w:tc>
              <w:tc>
                <w:tcPr>
                  <w:tcW w:w="1465" w:type="pct"/>
                  <w:gridSpan w:val="3"/>
                  <w:shd w:val="clear" w:color="auto" w:fill="auto"/>
                  <w:vAlign w:val="center"/>
                </w:tcPr>
                <w:p>
                  <w:pPr>
                    <w:pStyle w:val="68"/>
                    <w:rPr>
                      <w:b/>
                      <w:bCs w:val="0"/>
                      <w:color w:val="auto"/>
                    </w:rPr>
                  </w:pPr>
                  <w:r>
                    <w:rPr>
                      <w:b/>
                      <w:bCs w:val="0"/>
                      <w:color w:val="auto"/>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13" w:type="pct"/>
                  <w:vMerge w:val="continue"/>
                  <w:shd w:val="clear" w:color="auto" w:fill="auto"/>
                  <w:vAlign w:val="center"/>
                </w:tcPr>
                <w:p>
                  <w:pPr>
                    <w:pStyle w:val="68"/>
                    <w:rPr>
                      <w:b/>
                      <w:bCs w:val="0"/>
                      <w:color w:val="auto"/>
                    </w:rPr>
                  </w:pPr>
                </w:p>
              </w:tc>
              <w:tc>
                <w:tcPr>
                  <w:tcW w:w="425" w:type="pct"/>
                  <w:vMerge w:val="continue"/>
                  <w:shd w:val="clear" w:color="auto" w:fill="auto"/>
                  <w:vAlign w:val="center"/>
                </w:tcPr>
                <w:p>
                  <w:pPr>
                    <w:pStyle w:val="68"/>
                    <w:rPr>
                      <w:b/>
                      <w:bCs w:val="0"/>
                      <w:color w:val="auto"/>
                    </w:rPr>
                  </w:pPr>
                </w:p>
              </w:tc>
              <w:tc>
                <w:tcPr>
                  <w:tcW w:w="509" w:type="pct"/>
                  <w:shd w:val="clear" w:color="auto" w:fill="auto"/>
                  <w:vAlign w:val="center"/>
                </w:tcPr>
                <w:p>
                  <w:pPr>
                    <w:pStyle w:val="68"/>
                    <w:rPr>
                      <w:b/>
                      <w:bCs w:val="0"/>
                      <w:color w:val="auto"/>
                    </w:rPr>
                  </w:pPr>
                  <w:r>
                    <w:rPr>
                      <w:b/>
                      <w:bCs w:val="0"/>
                      <w:color w:val="auto"/>
                    </w:rPr>
                    <w:t>经度</w:t>
                  </w:r>
                </w:p>
              </w:tc>
              <w:tc>
                <w:tcPr>
                  <w:tcW w:w="638" w:type="pct"/>
                  <w:shd w:val="clear" w:color="auto" w:fill="auto"/>
                  <w:vAlign w:val="center"/>
                </w:tcPr>
                <w:p>
                  <w:pPr>
                    <w:pStyle w:val="68"/>
                    <w:rPr>
                      <w:b/>
                      <w:bCs w:val="0"/>
                      <w:color w:val="auto"/>
                    </w:rPr>
                  </w:pPr>
                  <w:r>
                    <w:rPr>
                      <w:b/>
                      <w:bCs w:val="0"/>
                      <w:color w:val="auto"/>
                    </w:rPr>
                    <w:t>纬度</w:t>
                  </w:r>
                </w:p>
              </w:tc>
              <w:tc>
                <w:tcPr>
                  <w:tcW w:w="524" w:type="pct"/>
                  <w:vMerge w:val="continue"/>
                  <w:shd w:val="clear" w:color="auto" w:fill="auto"/>
                  <w:vAlign w:val="center"/>
                </w:tcPr>
                <w:p>
                  <w:pPr>
                    <w:pStyle w:val="68"/>
                    <w:rPr>
                      <w:b/>
                      <w:bCs w:val="0"/>
                      <w:color w:val="auto"/>
                    </w:rPr>
                  </w:pPr>
                </w:p>
              </w:tc>
              <w:tc>
                <w:tcPr>
                  <w:tcW w:w="478" w:type="pct"/>
                  <w:vMerge w:val="continue"/>
                  <w:shd w:val="clear" w:color="auto" w:fill="auto"/>
                  <w:vAlign w:val="center"/>
                </w:tcPr>
                <w:p>
                  <w:pPr>
                    <w:pStyle w:val="68"/>
                    <w:rPr>
                      <w:b/>
                      <w:bCs w:val="0"/>
                      <w:color w:val="auto"/>
                    </w:rPr>
                  </w:pPr>
                </w:p>
              </w:tc>
              <w:tc>
                <w:tcPr>
                  <w:tcW w:w="425" w:type="pct"/>
                  <w:vMerge w:val="continue"/>
                  <w:shd w:val="clear" w:color="auto" w:fill="auto"/>
                  <w:vAlign w:val="center"/>
                </w:tcPr>
                <w:p>
                  <w:pPr>
                    <w:pStyle w:val="68"/>
                    <w:rPr>
                      <w:b/>
                      <w:bCs w:val="0"/>
                      <w:color w:val="auto"/>
                    </w:rPr>
                  </w:pPr>
                </w:p>
              </w:tc>
              <w:tc>
                <w:tcPr>
                  <w:tcW w:w="319" w:type="pct"/>
                  <w:vMerge w:val="continue"/>
                  <w:shd w:val="clear" w:color="auto" w:fill="auto"/>
                  <w:vAlign w:val="center"/>
                </w:tcPr>
                <w:p>
                  <w:pPr>
                    <w:pStyle w:val="68"/>
                    <w:rPr>
                      <w:b/>
                      <w:bCs w:val="0"/>
                      <w:color w:val="auto"/>
                    </w:rPr>
                  </w:pPr>
                </w:p>
              </w:tc>
              <w:tc>
                <w:tcPr>
                  <w:tcW w:w="425" w:type="pct"/>
                  <w:shd w:val="clear" w:color="auto" w:fill="auto"/>
                  <w:vAlign w:val="center"/>
                </w:tcPr>
                <w:p>
                  <w:pPr>
                    <w:pStyle w:val="68"/>
                    <w:rPr>
                      <w:b/>
                      <w:bCs w:val="0"/>
                      <w:color w:val="auto"/>
                    </w:rPr>
                  </w:pPr>
                  <w:r>
                    <w:rPr>
                      <w:b/>
                      <w:bCs w:val="0"/>
                      <w:color w:val="auto"/>
                    </w:rPr>
                    <w:t>名称</w:t>
                  </w:r>
                  <w:r>
                    <w:rPr>
                      <w:b/>
                      <w:bCs w:val="0"/>
                      <w:color w:val="auto"/>
                      <w:vertAlign w:val="superscript"/>
                    </w:rPr>
                    <w:t>（b）</w:t>
                  </w:r>
                </w:p>
              </w:tc>
              <w:tc>
                <w:tcPr>
                  <w:tcW w:w="505" w:type="pct"/>
                  <w:shd w:val="clear" w:color="auto" w:fill="auto"/>
                  <w:vAlign w:val="center"/>
                </w:tcPr>
                <w:p>
                  <w:pPr>
                    <w:pStyle w:val="68"/>
                    <w:rPr>
                      <w:b/>
                      <w:bCs w:val="0"/>
                      <w:color w:val="auto"/>
                    </w:rPr>
                  </w:pPr>
                  <w:r>
                    <w:rPr>
                      <w:b/>
                      <w:bCs w:val="0"/>
                      <w:color w:val="auto"/>
                    </w:rPr>
                    <w:t>污染物种类</w:t>
                  </w:r>
                </w:p>
              </w:tc>
              <w:tc>
                <w:tcPr>
                  <w:tcW w:w="533" w:type="pct"/>
                  <w:shd w:val="clear" w:color="auto" w:fill="auto"/>
                  <w:vAlign w:val="center"/>
                </w:tcPr>
                <w:p>
                  <w:pPr>
                    <w:pStyle w:val="68"/>
                    <w:rPr>
                      <w:b/>
                      <w:bCs w:val="0"/>
                      <w:color w:val="auto"/>
                    </w:rPr>
                  </w:pPr>
                  <w:r>
                    <w:rPr>
                      <w:b/>
                      <w:bCs w:val="0"/>
                      <w:color w:val="auto"/>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 w:hRule="atLeast"/>
                <w:jc w:val="center"/>
              </w:trPr>
              <w:tc>
                <w:tcPr>
                  <w:tcW w:w="213" w:type="pct"/>
                  <w:vMerge w:val="restart"/>
                  <w:shd w:val="clear" w:color="auto" w:fill="auto"/>
                  <w:vAlign w:val="center"/>
                </w:tcPr>
                <w:p>
                  <w:pPr>
                    <w:pStyle w:val="68"/>
                    <w:rPr>
                      <w:color w:val="auto"/>
                    </w:rPr>
                  </w:pPr>
                  <w:r>
                    <w:rPr>
                      <w:color w:val="auto"/>
                    </w:rPr>
                    <w:t>1</w:t>
                  </w:r>
                </w:p>
              </w:tc>
              <w:tc>
                <w:tcPr>
                  <w:tcW w:w="425" w:type="pct"/>
                  <w:vMerge w:val="restart"/>
                  <w:shd w:val="clear" w:color="auto" w:fill="auto"/>
                  <w:vAlign w:val="center"/>
                </w:tcPr>
                <w:p>
                  <w:pPr>
                    <w:pStyle w:val="68"/>
                    <w:rPr>
                      <w:color w:val="auto"/>
                    </w:rPr>
                  </w:pPr>
                  <w:r>
                    <w:rPr>
                      <w:color w:val="auto"/>
                    </w:rPr>
                    <w:t>DW001</w:t>
                  </w:r>
                </w:p>
              </w:tc>
              <w:tc>
                <w:tcPr>
                  <w:tcW w:w="509" w:type="pct"/>
                  <w:vMerge w:val="restart"/>
                  <w:shd w:val="clear" w:color="auto" w:fill="auto"/>
                  <w:vAlign w:val="center"/>
                </w:tcPr>
                <w:p>
                  <w:pPr>
                    <w:pStyle w:val="68"/>
                    <w:rPr>
                      <w:color w:val="auto"/>
                    </w:rPr>
                  </w:pPr>
                  <w:r>
                    <w:rPr>
                      <w:rFonts w:hint="eastAsia"/>
                      <w:color w:val="auto"/>
                    </w:rPr>
                    <w:t>118.390872</w:t>
                  </w:r>
                </w:p>
              </w:tc>
              <w:tc>
                <w:tcPr>
                  <w:tcW w:w="638" w:type="pct"/>
                  <w:vMerge w:val="restart"/>
                  <w:shd w:val="clear" w:color="auto" w:fill="auto"/>
                  <w:vAlign w:val="center"/>
                </w:tcPr>
                <w:p>
                  <w:pPr>
                    <w:pStyle w:val="68"/>
                    <w:rPr>
                      <w:color w:val="auto"/>
                    </w:rPr>
                  </w:pPr>
                  <w:r>
                    <w:rPr>
                      <w:rFonts w:hint="eastAsia"/>
                      <w:color w:val="auto"/>
                    </w:rPr>
                    <w:t>32.297687</w:t>
                  </w:r>
                </w:p>
              </w:tc>
              <w:tc>
                <w:tcPr>
                  <w:tcW w:w="524" w:type="pct"/>
                  <w:vMerge w:val="restart"/>
                  <w:shd w:val="clear" w:color="auto" w:fill="auto"/>
                  <w:vAlign w:val="center"/>
                </w:tcPr>
                <w:p>
                  <w:pPr>
                    <w:pStyle w:val="68"/>
                    <w:rPr>
                      <w:color w:val="auto"/>
                    </w:rPr>
                  </w:pPr>
                  <w:r>
                    <w:rPr>
                      <w:rFonts w:hint="eastAsia"/>
                      <w:color w:val="auto"/>
                    </w:rPr>
                    <w:t>0.792</w:t>
                  </w:r>
                </w:p>
              </w:tc>
              <w:tc>
                <w:tcPr>
                  <w:tcW w:w="478" w:type="pct"/>
                  <w:vMerge w:val="restart"/>
                  <w:shd w:val="clear" w:color="auto" w:fill="auto"/>
                  <w:vAlign w:val="center"/>
                </w:tcPr>
                <w:p>
                  <w:pPr>
                    <w:pStyle w:val="68"/>
                    <w:rPr>
                      <w:color w:val="auto"/>
                    </w:rPr>
                  </w:pPr>
                  <w:r>
                    <w:rPr>
                      <w:color w:val="auto"/>
                    </w:rPr>
                    <w:t>进入</w:t>
                  </w:r>
                  <w:r>
                    <w:rPr>
                      <w:rFonts w:hint="eastAsia"/>
                      <w:color w:val="auto"/>
                    </w:rPr>
                    <w:t>滁州第二</w:t>
                  </w:r>
                  <w:r>
                    <w:rPr>
                      <w:color w:val="auto"/>
                    </w:rPr>
                    <w:t>污水处理厂</w:t>
                  </w:r>
                </w:p>
              </w:tc>
              <w:tc>
                <w:tcPr>
                  <w:tcW w:w="425" w:type="pct"/>
                  <w:vMerge w:val="restart"/>
                  <w:shd w:val="clear" w:color="auto" w:fill="auto"/>
                  <w:vAlign w:val="center"/>
                </w:tcPr>
                <w:p>
                  <w:pPr>
                    <w:pStyle w:val="68"/>
                    <w:rPr>
                      <w:color w:val="auto"/>
                    </w:rPr>
                  </w:pPr>
                  <w:r>
                    <w:rPr>
                      <w:color w:val="auto"/>
                    </w:rPr>
                    <w:t>间断排放、流量不稳定</w:t>
                  </w:r>
                </w:p>
              </w:tc>
              <w:tc>
                <w:tcPr>
                  <w:tcW w:w="319" w:type="pct"/>
                  <w:vMerge w:val="restart"/>
                  <w:shd w:val="clear" w:color="auto" w:fill="auto"/>
                  <w:vAlign w:val="center"/>
                </w:tcPr>
                <w:p>
                  <w:pPr>
                    <w:pStyle w:val="68"/>
                    <w:rPr>
                      <w:color w:val="auto"/>
                    </w:rPr>
                  </w:pPr>
                  <w:r>
                    <w:rPr>
                      <w:color w:val="auto"/>
                    </w:rPr>
                    <w:t>—</w:t>
                  </w:r>
                </w:p>
              </w:tc>
              <w:tc>
                <w:tcPr>
                  <w:tcW w:w="425" w:type="pct"/>
                  <w:vMerge w:val="restart"/>
                  <w:shd w:val="clear" w:color="auto" w:fill="auto"/>
                  <w:vAlign w:val="center"/>
                </w:tcPr>
                <w:p>
                  <w:pPr>
                    <w:pStyle w:val="68"/>
                    <w:rPr>
                      <w:color w:val="auto"/>
                    </w:rPr>
                  </w:pPr>
                  <w:r>
                    <w:rPr>
                      <w:rFonts w:hint="eastAsia"/>
                      <w:color w:val="auto"/>
                      <w:kern w:val="0"/>
                    </w:rPr>
                    <w:t>滁州第二</w:t>
                  </w:r>
                  <w:r>
                    <w:rPr>
                      <w:color w:val="auto"/>
                      <w:kern w:val="0"/>
                    </w:rPr>
                    <w:t>污水处理厂</w:t>
                  </w:r>
                </w:p>
              </w:tc>
              <w:tc>
                <w:tcPr>
                  <w:tcW w:w="505" w:type="pct"/>
                  <w:shd w:val="clear" w:color="auto" w:fill="auto"/>
                  <w:vAlign w:val="center"/>
                </w:tcPr>
                <w:p>
                  <w:pPr>
                    <w:pStyle w:val="68"/>
                    <w:rPr>
                      <w:color w:val="auto"/>
                    </w:rPr>
                  </w:pPr>
                  <w:r>
                    <w:rPr>
                      <w:color w:val="auto"/>
                    </w:rPr>
                    <w:t>COD</w:t>
                  </w:r>
                </w:p>
              </w:tc>
              <w:tc>
                <w:tcPr>
                  <w:tcW w:w="533" w:type="pct"/>
                  <w:shd w:val="clear" w:color="auto" w:fill="auto"/>
                  <w:vAlign w:val="center"/>
                </w:tcPr>
                <w:p>
                  <w:pPr>
                    <w:pStyle w:val="68"/>
                    <w:rPr>
                      <w:color w:val="auto"/>
                    </w:rPr>
                  </w:pPr>
                  <w:r>
                    <w:rPr>
                      <w:color w:va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 w:hRule="atLeast"/>
                <w:jc w:val="center"/>
              </w:trPr>
              <w:tc>
                <w:tcPr>
                  <w:tcW w:w="213"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9" w:type="pct"/>
                  <w:vMerge w:val="continue"/>
                  <w:shd w:val="clear" w:color="auto" w:fill="auto"/>
                  <w:vAlign w:val="center"/>
                </w:tcPr>
                <w:p>
                  <w:pPr>
                    <w:pStyle w:val="68"/>
                    <w:rPr>
                      <w:color w:val="auto"/>
                    </w:rPr>
                  </w:pPr>
                </w:p>
              </w:tc>
              <w:tc>
                <w:tcPr>
                  <w:tcW w:w="638" w:type="pct"/>
                  <w:vMerge w:val="continue"/>
                  <w:shd w:val="clear" w:color="auto" w:fill="auto"/>
                  <w:vAlign w:val="center"/>
                </w:tcPr>
                <w:p>
                  <w:pPr>
                    <w:pStyle w:val="68"/>
                    <w:rPr>
                      <w:color w:val="auto"/>
                    </w:rPr>
                  </w:pPr>
                </w:p>
              </w:tc>
              <w:tc>
                <w:tcPr>
                  <w:tcW w:w="524" w:type="pct"/>
                  <w:vMerge w:val="continue"/>
                  <w:shd w:val="clear" w:color="auto" w:fill="auto"/>
                  <w:vAlign w:val="center"/>
                </w:tcPr>
                <w:p>
                  <w:pPr>
                    <w:pStyle w:val="68"/>
                    <w:rPr>
                      <w:color w:val="auto"/>
                    </w:rPr>
                  </w:pPr>
                </w:p>
              </w:tc>
              <w:tc>
                <w:tcPr>
                  <w:tcW w:w="478"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319"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5" w:type="pct"/>
                  <w:shd w:val="clear" w:color="auto" w:fill="auto"/>
                  <w:vAlign w:val="center"/>
                </w:tcPr>
                <w:p>
                  <w:pPr>
                    <w:pStyle w:val="68"/>
                    <w:rPr>
                      <w:color w:val="auto"/>
                    </w:rPr>
                  </w:pPr>
                  <w:r>
                    <w:rPr>
                      <w:color w:val="auto"/>
                    </w:rPr>
                    <w:t>SS</w:t>
                  </w:r>
                </w:p>
              </w:tc>
              <w:tc>
                <w:tcPr>
                  <w:tcW w:w="533" w:type="pct"/>
                  <w:shd w:val="clear" w:color="auto" w:fill="auto"/>
                  <w:vAlign w:val="center"/>
                </w:tcPr>
                <w:p>
                  <w:pPr>
                    <w:pStyle w:val="68"/>
                    <w:rPr>
                      <w:color w:val="auto"/>
                    </w:rPr>
                  </w:pPr>
                  <w:r>
                    <w:rPr>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 w:hRule="atLeast"/>
                <w:jc w:val="center"/>
              </w:trPr>
              <w:tc>
                <w:tcPr>
                  <w:tcW w:w="213"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9" w:type="pct"/>
                  <w:vMerge w:val="continue"/>
                  <w:shd w:val="clear" w:color="auto" w:fill="auto"/>
                  <w:vAlign w:val="center"/>
                </w:tcPr>
                <w:p>
                  <w:pPr>
                    <w:pStyle w:val="68"/>
                    <w:rPr>
                      <w:color w:val="auto"/>
                    </w:rPr>
                  </w:pPr>
                </w:p>
              </w:tc>
              <w:tc>
                <w:tcPr>
                  <w:tcW w:w="638" w:type="pct"/>
                  <w:vMerge w:val="continue"/>
                  <w:shd w:val="clear" w:color="auto" w:fill="auto"/>
                  <w:vAlign w:val="center"/>
                </w:tcPr>
                <w:p>
                  <w:pPr>
                    <w:pStyle w:val="68"/>
                    <w:rPr>
                      <w:color w:val="auto"/>
                    </w:rPr>
                  </w:pPr>
                </w:p>
              </w:tc>
              <w:tc>
                <w:tcPr>
                  <w:tcW w:w="524" w:type="pct"/>
                  <w:vMerge w:val="continue"/>
                  <w:shd w:val="clear" w:color="auto" w:fill="auto"/>
                  <w:vAlign w:val="center"/>
                </w:tcPr>
                <w:p>
                  <w:pPr>
                    <w:pStyle w:val="68"/>
                    <w:rPr>
                      <w:color w:val="auto"/>
                    </w:rPr>
                  </w:pPr>
                </w:p>
              </w:tc>
              <w:tc>
                <w:tcPr>
                  <w:tcW w:w="478"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319"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5" w:type="pct"/>
                  <w:shd w:val="clear" w:color="auto" w:fill="auto"/>
                  <w:vAlign w:val="center"/>
                </w:tcPr>
                <w:p>
                  <w:pPr>
                    <w:pStyle w:val="68"/>
                    <w:rPr>
                      <w:color w:val="auto"/>
                    </w:rPr>
                  </w:pPr>
                  <w:r>
                    <w:rPr>
                      <w:rFonts w:hint="eastAsia"/>
                      <w:color w:val="auto"/>
                    </w:rPr>
                    <w:t>BOD</w:t>
                  </w:r>
                  <w:r>
                    <w:rPr>
                      <w:rFonts w:hint="eastAsia"/>
                      <w:color w:val="auto"/>
                      <w:vertAlign w:val="subscript"/>
                    </w:rPr>
                    <w:t>5</w:t>
                  </w:r>
                </w:p>
              </w:tc>
              <w:tc>
                <w:tcPr>
                  <w:tcW w:w="533" w:type="pct"/>
                  <w:shd w:val="clear" w:color="auto" w:fill="auto"/>
                  <w:vAlign w:val="center"/>
                </w:tcPr>
                <w:p>
                  <w:pPr>
                    <w:pStyle w:val="68"/>
                    <w:rPr>
                      <w:color w:val="auto"/>
                    </w:rPr>
                  </w:pPr>
                  <w:r>
                    <w:rPr>
                      <w:rFonts w:hint="eastAsia"/>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 w:hRule="atLeast"/>
                <w:jc w:val="center"/>
              </w:trPr>
              <w:tc>
                <w:tcPr>
                  <w:tcW w:w="213"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9" w:type="pct"/>
                  <w:vMerge w:val="continue"/>
                  <w:shd w:val="clear" w:color="auto" w:fill="auto"/>
                  <w:vAlign w:val="center"/>
                </w:tcPr>
                <w:p>
                  <w:pPr>
                    <w:pStyle w:val="68"/>
                    <w:rPr>
                      <w:color w:val="auto"/>
                    </w:rPr>
                  </w:pPr>
                </w:p>
              </w:tc>
              <w:tc>
                <w:tcPr>
                  <w:tcW w:w="638" w:type="pct"/>
                  <w:vMerge w:val="continue"/>
                  <w:shd w:val="clear" w:color="auto" w:fill="auto"/>
                  <w:vAlign w:val="center"/>
                </w:tcPr>
                <w:p>
                  <w:pPr>
                    <w:pStyle w:val="68"/>
                    <w:rPr>
                      <w:color w:val="auto"/>
                    </w:rPr>
                  </w:pPr>
                </w:p>
              </w:tc>
              <w:tc>
                <w:tcPr>
                  <w:tcW w:w="524" w:type="pct"/>
                  <w:vMerge w:val="continue"/>
                  <w:shd w:val="clear" w:color="auto" w:fill="auto"/>
                  <w:vAlign w:val="center"/>
                </w:tcPr>
                <w:p>
                  <w:pPr>
                    <w:pStyle w:val="68"/>
                    <w:rPr>
                      <w:color w:val="auto"/>
                    </w:rPr>
                  </w:pPr>
                </w:p>
              </w:tc>
              <w:tc>
                <w:tcPr>
                  <w:tcW w:w="478"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319"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5" w:type="pct"/>
                  <w:shd w:val="clear" w:color="auto" w:fill="auto"/>
                  <w:vAlign w:val="center"/>
                </w:tcPr>
                <w:p>
                  <w:pPr>
                    <w:pStyle w:val="68"/>
                    <w:rPr>
                      <w:color w:val="auto"/>
                    </w:rPr>
                  </w:pPr>
                  <w:r>
                    <w:rPr>
                      <w:color w:val="auto"/>
                    </w:rPr>
                    <w:t>NH</w:t>
                  </w:r>
                  <w:r>
                    <w:rPr>
                      <w:color w:val="auto"/>
                      <w:vertAlign w:val="subscript"/>
                    </w:rPr>
                    <w:t>3</w:t>
                  </w:r>
                  <w:r>
                    <w:rPr>
                      <w:color w:val="auto"/>
                    </w:rPr>
                    <w:t>-N</w:t>
                  </w:r>
                </w:p>
              </w:tc>
              <w:tc>
                <w:tcPr>
                  <w:tcW w:w="533" w:type="pct"/>
                  <w:shd w:val="clear" w:color="auto" w:fill="auto"/>
                  <w:vAlign w:val="center"/>
                </w:tcPr>
                <w:p>
                  <w:pPr>
                    <w:pStyle w:val="68"/>
                    <w:rPr>
                      <w:color w:val="auto"/>
                    </w:rPr>
                  </w:pPr>
                  <w:r>
                    <w:rPr>
                      <w:color w:val="auto"/>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 w:hRule="atLeast"/>
                <w:jc w:val="center"/>
              </w:trPr>
              <w:tc>
                <w:tcPr>
                  <w:tcW w:w="213"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9" w:type="pct"/>
                  <w:vMerge w:val="continue"/>
                  <w:shd w:val="clear" w:color="auto" w:fill="auto"/>
                  <w:vAlign w:val="center"/>
                </w:tcPr>
                <w:p>
                  <w:pPr>
                    <w:pStyle w:val="68"/>
                    <w:rPr>
                      <w:color w:val="auto"/>
                    </w:rPr>
                  </w:pPr>
                </w:p>
              </w:tc>
              <w:tc>
                <w:tcPr>
                  <w:tcW w:w="638" w:type="pct"/>
                  <w:vMerge w:val="continue"/>
                  <w:shd w:val="clear" w:color="auto" w:fill="auto"/>
                  <w:vAlign w:val="center"/>
                </w:tcPr>
                <w:p>
                  <w:pPr>
                    <w:pStyle w:val="68"/>
                    <w:rPr>
                      <w:color w:val="auto"/>
                    </w:rPr>
                  </w:pPr>
                </w:p>
              </w:tc>
              <w:tc>
                <w:tcPr>
                  <w:tcW w:w="524" w:type="pct"/>
                  <w:vMerge w:val="continue"/>
                  <w:shd w:val="clear" w:color="auto" w:fill="auto"/>
                  <w:vAlign w:val="center"/>
                </w:tcPr>
                <w:p>
                  <w:pPr>
                    <w:pStyle w:val="68"/>
                    <w:rPr>
                      <w:color w:val="auto"/>
                    </w:rPr>
                  </w:pPr>
                </w:p>
              </w:tc>
              <w:tc>
                <w:tcPr>
                  <w:tcW w:w="478"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319"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5" w:type="pct"/>
                  <w:shd w:val="clear" w:color="auto" w:fill="auto"/>
                  <w:vAlign w:val="center"/>
                </w:tcPr>
                <w:p>
                  <w:pPr>
                    <w:pStyle w:val="68"/>
                    <w:rPr>
                      <w:color w:val="auto"/>
                    </w:rPr>
                  </w:pPr>
                  <w:r>
                    <w:rPr>
                      <w:color w:val="auto"/>
                    </w:rPr>
                    <w:t>TP</w:t>
                  </w:r>
                </w:p>
              </w:tc>
              <w:tc>
                <w:tcPr>
                  <w:tcW w:w="533" w:type="pct"/>
                  <w:shd w:val="clear" w:color="auto" w:fill="auto"/>
                  <w:vAlign w:val="center"/>
                </w:tcPr>
                <w:p>
                  <w:pPr>
                    <w:pStyle w:val="68"/>
                    <w:rPr>
                      <w:color w:val="auto"/>
                    </w:rPr>
                  </w:pPr>
                  <w:r>
                    <w:rPr>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 w:hRule="atLeast"/>
                <w:jc w:val="center"/>
              </w:trPr>
              <w:tc>
                <w:tcPr>
                  <w:tcW w:w="213"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9" w:type="pct"/>
                  <w:vMerge w:val="continue"/>
                  <w:shd w:val="clear" w:color="auto" w:fill="auto"/>
                  <w:vAlign w:val="center"/>
                </w:tcPr>
                <w:p>
                  <w:pPr>
                    <w:pStyle w:val="68"/>
                    <w:rPr>
                      <w:color w:val="auto"/>
                    </w:rPr>
                  </w:pPr>
                </w:p>
              </w:tc>
              <w:tc>
                <w:tcPr>
                  <w:tcW w:w="638" w:type="pct"/>
                  <w:vMerge w:val="continue"/>
                  <w:shd w:val="clear" w:color="auto" w:fill="auto"/>
                  <w:vAlign w:val="center"/>
                </w:tcPr>
                <w:p>
                  <w:pPr>
                    <w:pStyle w:val="68"/>
                    <w:rPr>
                      <w:color w:val="auto"/>
                    </w:rPr>
                  </w:pPr>
                </w:p>
              </w:tc>
              <w:tc>
                <w:tcPr>
                  <w:tcW w:w="524" w:type="pct"/>
                  <w:vMerge w:val="continue"/>
                  <w:shd w:val="clear" w:color="auto" w:fill="auto"/>
                  <w:vAlign w:val="center"/>
                </w:tcPr>
                <w:p>
                  <w:pPr>
                    <w:pStyle w:val="68"/>
                    <w:rPr>
                      <w:color w:val="auto"/>
                    </w:rPr>
                  </w:pPr>
                </w:p>
              </w:tc>
              <w:tc>
                <w:tcPr>
                  <w:tcW w:w="478"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319" w:type="pct"/>
                  <w:vMerge w:val="continue"/>
                  <w:shd w:val="clear" w:color="auto" w:fill="auto"/>
                  <w:vAlign w:val="center"/>
                </w:tcPr>
                <w:p>
                  <w:pPr>
                    <w:pStyle w:val="68"/>
                    <w:rPr>
                      <w:color w:val="auto"/>
                    </w:rPr>
                  </w:pPr>
                </w:p>
              </w:tc>
              <w:tc>
                <w:tcPr>
                  <w:tcW w:w="425" w:type="pct"/>
                  <w:vMerge w:val="continue"/>
                  <w:shd w:val="clear" w:color="auto" w:fill="auto"/>
                  <w:vAlign w:val="center"/>
                </w:tcPr>
                <w:p>
                  <w:pPr>
                    <w:pStyle w:val="68"/>
                    <w:rPr>
                      <w:color w:val="auto"/>
                    </w:rPr>
                  </w:pPr>
                </w:p>
              </w:tc>
              <w:tc>
                <w:tcPr>
                  <w:tcW w:w="505" w:type="pct"/>
                  <w:shd w:val="clear" w:color="auto" w:fill="auto"/>
                  <w:vAlign w:val="center"/>
                </w:tcPr>
                <w:p>
                  <w:pPr>
                    <w:pStyle w:val="68"/>
                    <w:rPr>
                      <w:color w:val="auto"/>
                    </w:rPr>
                  </w:pPr>
                  <w:r>
                    <w:rPr>
                      <w:color w:val="auto"/>
                    </w:rPr>
                    <w:t>动植物油</w:t>
                  </w:r>
                </w:p>
              </w:tc>
              <w:tc>
                <w:tcPr>
                  <w:tcW w:w="533" w:type="pct"/>
                  <w:shd w:val="clear" w:color="auto" w:fill="auto"/>
                  <w:vAlign w:val="center"/>
                </w:tcPr>
                <w:p>
                  <w:pPr>
                    <w:pStyle w:val="68"/>
                    <w:rPr>
                      <w:color w:val="auto"/>
                    </w:rPr>
                  </w:pPr>
                  <w:r>
                    <w:rPr>
                      <w:color w:val="auto"/>
                    </w:rPr>
                    <w:t>1</w:t>
                  </w:r>
                </w:p>
              </w:tc>
            </w:tr>
          </w:tbl>
          <w:p>
            <w:pPr>
              <w:adjustRightInd w:val="0"/>
              <w:snapToGrid w:val="0"/>
              <w:spacing w:before="120" w:beforeLines="50" w:line="360" w:lineRule="auto"/>
              <w:ind w:firstLine="482" w:firstLineChars="200"/>
              <w:rPr>
                <w:b/>
                <w:bCs/>
                <w:sz w:val="24"/>
              </w:rPr>
            </w:pPr>
            <w:r>
              <w:rPr>
                <w:rFonts w:hint="eastAsia"/>
                <w:b/>
                <w:bCs/>
                <w:sz w:val="24"/>
              </w:rPr>
              <w:t>3、废水监测计划一览表</w:t>
            </w:r>
          </w:p>
          <w:p>
            <w:pPr>
              <w:adjustRightInd w:val="0"/>
              <w:snapToGrid w:val="0"/>
              <w:spacing w:line="360" w:lineRule="auto"/>
              <w:ind w:firstLine="482" w:firstLineChars="200"/>
              <w:jc w:val="center"/>
              <w:rPr>
                <w:b/>
                <w:bCs/>
                <w:sz w:val="24"/>
              </w:rPr>
            </w:pPr>
            <w:r>
              <w:rPr>
                <w:rFonts w:hint="eastAsia"/>
                <w:b/>
                <w:bCs/>
                <w:sz w:val="24"/>
              </w:rPr>
              <w:t>表4-11 废水监测计划一览表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687"/>
              <w:gridCol w:w="962"/>
              <w:gridCol w:w="725"/>
              <w:gridCol w:w="875"/>
              <w:gridCol w:w="620"/>
              <w:gridCol w:w="611"/>
              <w:gridCol w:w="608"/>
              <w:gridCol w:w="61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3" w:type="dxa"/>
                  <w:shd w:val="clear" w:color="auto" w:fill="auto"/>
                  <w:vAlign w:val="center"/>
                </w:tcPr>
                <w:p>
                  <w:pPr>
                    <w:pStyle w:val="68"/>
                    <w:rPr>
                      <w:b/>
                      <w:bCs w:val="0"/>
                      <w:color w:val="auto"/>
                    </w:rPr>
                  </w:pPr>
                  <w:r>
                    <w:rPr>
                      <w:b/>
                      <w:bCs w:val="0"/>
                      <w:color w:val="auto"/>
                    </w:rPr>
                    <w:t>序号</w:t>
                  </w:r>
                </w:p>
              </w:tc>
              <w:tc>
                <w:tcPr>
                  <w:tcW w:w="687" w:type="dxa"/>
                  <w:shd w:val="clear" w:color="auto" w:fill="auto"/>
                  <w:vAlign w:val="center"/>
                </w:tcPr>
                <w:p>
                  <w:pPr>
                    <w:pStyle w:val="68"/>
                    <w:rPr>
                      <w:b/>
                      <w:bCs w:val="0"/>
                      <w:color w:val="auto"/>
                    </w:rPr>
                  </w:pPr>
                  <w:r>
                    <w:rPr>
                      <w:b/>
                      <w:bCs w:val="0"/>
                      <w:color w:val="auto"/>
                    </w:rPr>
                    <w:t>排放口编号</w:t>
                  </w:r>
                </w:p>
              </w:tc>
              <w:tc>
                <w:tcPr>
                  <w:tcW w:w="962" w:type="dxa"/>
                  <w:shd w:val="clear" w:color="auto" w:fill="auto"/>
                  <w:vAlign w:val="center"/>
                </w:tcPr>
                <w:p>
                  <w:pPr>
                    <w:pStyle w:val="68"/>
                    <w:rPr>
                      <w:b/>
                      <w:bCs w:val="0"/>
                      <w:color w:val="auto"/>
                    </w:rPr>
                  </w:pPr>
                  <w:r>
                    <w:rPr>
                      <w:b/>
                      <w:bCs w:val="0"/>
                      <w:color w:val="auto"/>
                    </w:rPr>
                    <w:t>污染物名称</w:t>
                  </w:r>
                </w:p>
              </w:tc>
              <w:tc>
                <w:tcPr>
                  <w:tcW w:w="725" w:type="dxa"/>
                  <w:shd w:val="clear" w:color="auto" w:fill="auto"/>
                  <w:vAlign w:val="center"/>
                </w:tcPr>
                <w:p>
                  <w:pPr>
                    <w:pStyle w:val="68"/>
                    <w:rPr>
                      <w:b/>
                      <w:bCs w:val="0"/>
                      <w:color w:val="auto"/>
                    </w:rPr>
                  </w:pPr>
                  <w:r>
                    <w:rPr>
                      <w:b/>
                      <w:bCs w:val="0"/>
                      <w:color w:val="auto"/>
                    </w:rPr>
                    <w:t>检测设施</w:t>
                  </w:r>
                </w:p>
              </w:tc>
              <w:tc>
                <w:tcPr>
                  <w:tcW w:w="875" w:type="dxa"/>
                  <w:shd w:val="clear" w:color="auto" w:fill="auto"/>
                  <w:vAlign w:val="center"/>
                </w:tcPr>
                <w:p>
                  <w:pPr>
                    <w:pStyle w:val="68"/>
                    <w:rPr>
                      <w:b/>
                      <w:bCs w:val="0"/>
                      <w:color w:val="auto"/>
                    </w:rPr>
                  </w:pPr>
                  <w:r>
                    <w:rPr>
                      <w:b/>
                      <w:bCs w:val="0"/>
                      <w:color w:val="auto"/>
                    </w:rPr>
                    <w:t>自动检测设施安装、运行、维护等相关管理要求</w:t>
                  </w:r>
                </w:p>
              </w:tc>
              <w:tc>
                <w:tcPr>
                  <w:tcW w:w="620" w:type="dxa"/>
                  <w:shd w:val="clear" w:color="auto" w:fill="auto"/>
                  <w:vAlign w:val="center"/>
                </w:tcPr>
                <w:p>
                  <w:pPr>
                    <w:pStyle w:val="68"/>
                    <w:rPr>
                      <w:b/>
                      <w:bCs w:val="0"/>
                      <w:color w:val="auto"/>
                    </w:rPr>
                  </w:pPr>
                  <w:r>
                    <w:rPr>
                      <w:b/>
                      <w:bCs w:val="0"/>
                      <w:color w:val="auto"/>
                    </w:rPr>
                    <w:t>自动监测是否联网</w:t>
                  </w:r>
                </w:p>
              </w:tc>
              <w:tc>
                <w:tcPr>
                  <w:tcW w:w="611" w:type="dxa"/>
                  <w:shd w:val="clear" w:color="auto" w:fill="auto"/>
                  <w:vAlign w:val="center"/>
                </w:tcPr>
                <w:p>
                  <w:pPr>
                    <w:pStyle w:val="68"/>
                    <w:rPr>
                      <w:b/>
                      <w:bCs w:val="0"/>
                      <w:color w:val="auto"/>
                    </w:rPr>
                  </w:pPr>
                  <w:r>
                    <w:rPr>
                      <w:b/>
                      <w:bCs w:val="0"/>
                      <w:color w:val="auto"/>
                    </w:rPr>
                    <w:t>自动监测仪器名称</w:t>
                  </w:r>
                </w:p>
              </w:tc>
              <w:tc>
                <w:tcPr>
                  <w:tcW w:w="608" w:type="dxa"/>
                  <w:shd w:val="clear" w:color="auto" w:fill="auto"/>
                  <w:vAlign w:val="center"/>
                </w:tcPr>
                <w:p>
                  <w:pPr>
                    <w:pStyle w:val="68"/>
                    <w:rPr>
                      <w:b/>
                      <w:bCs w:val="0"/>
                      <w:color w:val="auto"/>
                    </w:rPr>
                  </w:pPr>
                  <w:r>
                    <w:rPr>
                      <w:b/>
                      <w:bCs w:val="0"/>
                      <w:color w:val="auto"/>
                    </w:rPr>
                    <w:t>手工采样方法及个数</w:t>
                  </w:r>
                  <w:r>
                    <w:rPr>
                      <w:b/>
                      <w:bCs w:val="0"/>
                      <w:color w:val="auto"/>
                      <w:vertAlign w:val="superscript"/>
                    </w:rPr>
                    <w:t>（a）</w:t>
                  </w:r>
                </w:p>
              </w:tc>
              <w:tc>
                <w:tcPr>
                  <w:tcW w:w="610" w:type="dxa"/>
                  <w:shd w:val="clear" w:color="auto" w:fill="auto"/>
                  <w:vAlign w:val="center"/>
                </w:tcPr>
                <w:p>
                  <w:pPr>
                    <w:pStyle w:val="68"/>
                    <w:rPr>
                      <w:b/>
                      <w:bCs w:val="0"/>
                      <w:color w:val="auto"/>
                    </w:rPr>
                  </w:pPr>
                  <w:r>
                    <w:rPr>
                      <w:b/>
                      <w:bCs w:val="0"/>
                      <w:color w:val="auto"/>
                    </w:rPr>
                    <w:t>手工监测频次</w:t>
                  </w:r>
                  <w:r>
                    <w:rPr>
                      <w:b/>
                      <w:bCs w:val="0"/>
                      <w:color w:val="auto"/>
                      <w:vertAlign w:val="superscript"/>
                    </w:rPr>
                    <w:t>（b）</w:t>
                  </w:r>
                </w:p>
              </w:tc>
              <w:tc>
                <w:tcPr>
                  <w:tcW w:w="1910" w:type="dxa"/>
                  <w:shd w:val="clear" w:color="auto" w:fill="auto"/>
                  <w:vAlign w:val="center"/>
                </w:tcPr>
                <w:p>
                  <w:pPr>
                    <w:pStyle w:val="68"/>
                    <w:rPr>
                      <w:b/>
                      <w:bCs w:val="0"/>
                      <w:color w:val="auto"/>
                    </w:rPr>
                  </w:pPr>
                  <w:r>
                    <w:rPr>
                      <w:b/>
                      <w:bCs w:val="0"/>
                      <w:color w:val="auto"/>
                    </w:rPr>
                    <w:t>手工测定方法</w:t>
                  </w:r>
                  <w:r>
                    <w:rPr>
                      <w:b/>
                      <w:bCs w:val="0"/>
                      <w:color w:val="auto"/>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3" w:type="dxa"/>
                  <w:shd w:val="clear" w:color="auto" w:fill="auto"/>
                  <w:vAlign w:val="center"/>
                </w:tcPr>
                <w:p>
                  <w:pPr>
                    <w:pStyle w:val="68"/>
                    <w:rPr>
                      <w:color w:val="auto"/>
                    </w:rPr>
                  </w:pPr>
                  <w:r>
                    <w:rPr>
                      <w:color w:val="auto"/>
                    </w:rPr>
                    <w:t>1</w:t>
                  </w:r>
                </w:p>
              </w:tc>
              <w:tc>
                <w:tcPr>
                  <w:tcW w:w="687" w:type="dxa"/>
                  <w:vMerge w:val="restart"/>
                  <w:shd w:val="clear" w:color="auto" w:fill="auto"/>
                  <w:vAlign w:val="center"/>
                </w:tcPr>
                <w:p>
                  <w:pPr>
                    <w:pStyle w:val="68"/>
                    <w:rPr>
                      <w:color w:val="auto"/>
                    </w:rPr>
                  </w:pPr>
                  <w:r>
                    <w:rPr>
                      <w:color w:val="auto"/>
                    </w:rPr>
                    <w:t>DW001</w:t>
                  </w:r>
                </w:p>
              </w:tc>
              <w:tc>
                <w:tcPr>
                  <w:tcW w:w="962" w:type="dxa"/>
                  <w:shd w:val="clear" w:color="auto" w:fill="auto"/>
                  <w:vAlign w:val="center"/>
                </w:tcPr>
                <w:p>
                  <w:pPr>
                    <w:pStyle w:val="68"/>
                    <w:rPr>
                      <w:color w:val="auto"/>
                    </w:rPr>
                  </w:pPr>
                  <w:r>
                    <w:rPr>
                      <w:color w:val="auto"/>
                    </w:rPr>
                    <w:t>COD</w:t>
                  </w:r>
                </w:p>
              </w:tc>
              <w:tc>
                <w:tcPr>
                  <w:tcW w:w="725" w:type="dxa"/>
                  <w:vMerge w:val="restart"/>
                  <w:shd w:val="clear" w:color="auto" w:fill="auto"/>
                  <w:vAlign w:val="center"/>
                </w:tcPr>
                <w:p>
                  <w:pPr>
                    <w:pStyle w:val="68"/>
                    <w:rPr>
                      <w:color w:val="auto"/>
                    </w:rPr>
                  </w:pPr>
                  <w:r>
                    <w:rPr>
                      <w:color w:val="auto"/>
                    </w:rPr>
                    <w:t>□自动</w:t>
                  </w:r>
                </w:p>
                <w:p>
                  <w:pPr>
                    <w:pStyle w:val="68"/>
                    <w:rPr>
                      <w:color w:val="auto"/>
                    </w:rPr>
                  </w:pPr>
                  <w:r>
                    <w:rPr>
                      <w:color w:val="auto"/>
                    </w:rPr>
                    <w:t>■手工</w:t>
                  </w:r>
                </w:p>
              </w:tc>
              <w:tc>
                <w:tcPr>
                  <w:tcW w:w="875" w:type="dxa"/>
                  <w:vMerge w:val="restart"/>
                  <w:shd w:val="clear" w:color="auto" w:fill="auto"/>
                  <w:vAlign w:val="center"/>
                </w:tcPr>
                <w:p>
                  <w:pPr>
                    <w:pStyle w:val="68"/>
                    <w:rPr>
                      <w:color w:val="auto"/>
                    </w:rPr>
                  </w:pPr>
                  <w:r>
                    <w:rPr>
                      <w:color w:val="auto"/>
                    </w:rPr>
                    <w:t>—</w:t>
                  </w:r>
                </w:p>
              </w:tc>
              <w:tc>
                <w:tcPr>
                  <w:tcW w:w="620" w:type="dxa"/>
                  <w:vMerge w:val="restart"/>
                  <w:shd w:val="clear" w:color="auto" w:fill="auto"/>
                  <w:vAlign w:val="center"/>
                </w:tcPr>
                <w:p>
                  <w:pPr>
                    <w:pStyle w:val="68"/>
                    <w:rPr>
                      <w:color w:val="auto"/>
                    </w:rPr>
                  </w:pPr>
                  <w:r>
                    <w:rPr>
                      <w:color w:val="auto"/>
                    </w:rPr>
                    <w:t>—</w:t>
                  </w:r>
                </w:p>
              </w:tc>
              <w:tc>
                <w:tcPr>
                  <w:tcW w:w="611" w:type="dxa"/>
                  <w:vMerge w:val="restart"/>
                  <w:shd w:val="clear" w:color="auto" w:fill="auto"/>
                  <w:vAlign w:val="center"/>
                </w:tcPr>
                <w:p>
                  <w:pPr>
                    <w:pStyle w:val="68"/>
                    <w:rPr>
                      <w:color w:val="auto"/>
                    </w:rPr>
                  </w:pPr>
                  <w:r>
                    <w:rPr>
                      <w:color w:val="auto"/>
                    </w:rPr>
                    <w:t>—</w:t>
                  </w:r>
                </w:p>
              </w:tc>
              <w:tc>
                <w:tcPr>
                  <w:tcW w:w="608" w:type="dxa"/>
                  <w:vMerge w:val="restart"/>
                  <w:shd w:val="clear" w:color="auto" w:fill="auto"/>
                  <w:vAlign w:val="center"/>
                </w:tcPr>
                <w:p>
                  <w:pPr>
                    <w:pStyle w:val="68"/>
                    <w:rPr>
                      <w:color w:val="auto"/>
                    </w:rPr>
                  </w:pPr>
                  <w:r>
                    <w:rPr>
                      <w:color w:val="auto"/>
                    </w:rPr>
                    <w:t>混合采样3个</w:t>
                  </w:r>
                </w:p>
              </w:tc>
              <w:tc>
                <w:tcPr>
                  <w:tcW w:w="610" w:type="dxa"/>
                  <w:vMerge w:val="restart"/>
                  <w:shd w:val="clear" w:color="auto" w:fill="auto"/>
                  <w:vAlign w:val="center"/>
                </w:tcPr>
                <w:p>
                  <w:pPr>
                    <w:pStyle w:val="68"/>
                    <w:rPr>
                      <w:color w:val="auto"/>
                    </w:rPr>
                  </w:pPr>
                  <w:r>
                    <w:rPr>
                      <w:rFonts w:hint="eastAsia"/>
                      <w:color w:val="auto"/>
                    </w:rPr>
                    <w:t>1次/年</w:t>
                  </w:r>
                </w:p>
              </w:tc>
              <w:tc>
                <w:tcPr>
                  <w:tcW w:w="1910" w:type="dxa"/>
                  <w:shd w:val="clear" w:color="auto" w:fill="auto"/>
                  <w:vAlign w:val="center"/>
                </w:tcPr>
                <w:p>
                  <w:pPr>
                    <w:pStyle w:val="68"/>
                    <w:rPr>
                      <w:color w:val="auto"/>
                    </w:rPr>
                  </w:pPr>
                  <w:r>
                    <w:rPr>
                      <w:color w:val="auto"/>
                    </w:rPr>
                    <w:t>重铬酸钾法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3" w:type="dxa"/>
                  <w:shd w:val="clear" w:color="auto" w:fill="auto"/>
                  <w:vAlign w:val="center"/>
                </w:tcPr>
                <w:p>
                  <w:pPr>
                    <w:pStyle w:val="68"/>
                    <w:rPr>
                      <w:color w:val="auto"/>
                    </w:rPr>
                  </w:pPr>
                  <w:r>
                    <w:rPr>
                      <w:rFonts w:hint="eastAsia"/>
                      <w:color w:val="auto"/>
                    </w:rPr>
                    <w:t>2</w:t>
                  </w:r>
                </w:p>
              </w:tc>
              <w:tc>
                <w:tcPr>
                  <w:tcW w:w="687" w:type="dxa"/>
                  <w:vMerge w:val="continue"/>
                  <w:shd w:val="clear" w:color="auto" w:fill="auto"/>
                  <w:vAlign w:val="center"/>
                </w:tcPr>
                <w:p>
                  <w:pPr>
                    <w:pStyle w:val="68"/>
                    <w:rPr>
                      <w:color w:val="auto"/>
                    </w:rPr>
                  </w:pPr>
                </w:p>
              </w:tc>
              <w:tc>
                <w:tcPr>
                  <w:tcW w:w="962" w:type="dxa"/>
                  <w:shd w:val="clear" w:color="auto" w:fill="auto"/>
                  <w:vAlign w:val="center"/>
                </w:tcPr>
                <w:p>
                  <w:pPr>
                    <w:pStyle w:val="68"/>
                    <w:rPr>
                      <w:color w:val="auto"/>
                    </w:rPr>
                  </w:pPr>
                  <w:r>
                    <w:rPr>
                      <w:rFonts w:hint="eastAsia"/>
                      <w:color w:val="auto"/>
                    </w:rPr>
                    <w:t>BOD</w:t>
                  </w:r>
                  <w:r>
                    <w:rPr>
                      <w:rFonts w:hint="eastAsia"/>
                      <w:color w:val="auto"/>
                      <w:vertAlign w:val="subscript"/>
                    </w:rPr>
                    <w:t>5</w:t>
                  </w:r>
                </w:p>
              </w:tc>
              <w:tc>
                <w:tcPr>
                  <w:tcW w:w="725" w:type="dxa"/>
                  <w:vMerge w:val="continue"/>
                  <w:shd w:val="clear" w:color="auto" w:fill="auto"/>
                  <w:vAlign w:val="center"/>
                </w:tcPr>
                <w:p>
                  <w:pPr>
                    <w:pStyle w:val="68"/>
                    <w:rPr>
                      <w:color w:val="auto"/>
                    </w:rPr>
                  </w:pPr>
                </w:p>
              </w:tc>
              <w:tc>
                <w:tcPr>
                  <w:tcW w:w="875" w:type="dxa"/>
                  <w:vMerge w:val="continue"/>
                  <w:shd w:val="clear" w:color="auto" w:fill="auto"/>
                  <w:vAlign w:val="center"/>
                </w:tcPr>
                <w:p>
                  <w:pPr>
                    <w:pStyle w:val="68"/>
                    <w:rPr>
                      <w:color w:val="auto"/>
                    </w:rPr>
                  </w:pPr>
                </w:p>
              </w:tc>
              <w:tc>
                <w:tcPr>
                  <w:tcW w:w="620" w:type="dxa"/>
                  <w:vMerge w:val="continue"/>
                  <w:shd w:val="clear" w:color="auto" w:fill="auto"/>
                  <w:vAlign w:val="center"/>
                </w:tcPr>
                <w:p>
                  <w:pPr>
                    <w:pStyle w:val="68"/>
                    <w:rPr>
                      <w:color w:val="auto"/>
                    </w:rPr>
                  </w:pPr>
                </w:p>
              </w:tc>
              <w:tc>
                <w:tcPr>
                  <w:tcW w:w="611" w:type="dxa"/>
                  <w:vMerge w:val="continue"/>
                  <w:shd w:val="clear" w:color="auto" w:fill="auto"/>
                  <w:vAlign w:val="center"/>
                </w:tcPr>
                <w:p>
                  <w:pPr>
                    <w:pStyle w:val="68"/>
                    <w:rPr>
                      <w:color w:val="auto"/>
                    </w:rPr>
                  </w:pPr>
                </w:p>
              </w:tc>
              <w:tc>
                <w:tcPr>
                  <w:tcW w:w="608" w:type="dxa"/>
                  <w:vMerge w:val="continue"/>
                  <w:shd w:val="clear" w:color="auto" w:fill="auto"/>
                  <w:vAlign w:val="center"/>
                </w:tcPr>
                <w:p>
                  <w:pPr>
                    <w:pStyle w:val="68"/>
                    <w:rPr>
                      <w:color w:val="auto"/>
                    </w:rPr>
                  </w:pPr>
                </w:p>
              </w:tc>
              <w:tc>
                <w:tcPr>
                  <w:tcW w:w="610" w:type="dxa"/>
                  <w:vMerge w:val="continue"/>
                  <w:shd w:val="clear" w:color="auto" w:fill="auto"/>
                  <w:vAlign w:val="center"/>
                </w:tcPr>
                <w:p>
                  <w:pPr>
                    <w:pStyle w:val="68"/>
                    <w:rPr>
                      <w:color w:val="auto"/>
                    </w:rPr>
                  </w:pPr>
                </w:p>
              </w:tc>
              <w:tc>
                <w:tcPr>
                  <w:tcW w:w="1910" w:type="dxa"/>
                  <w:shd w:val="clear" w:color="auto" w:fill="auto"/>
                  <w:vAlign w:val="center"/>
                </w:tcPr>
                <w:p>
                  <w:pPr>
                    <w:pStyle w:val="68"/>
                    <w:rPr>
                      <w:color w:val="auto"/>
                    </w:rPr>
                  </w:pPr>
                  <w:r>
                    <w:rPr>
                      <w:rFonts w:hint="eastAsia"/>
                      <w:color w:val="000000" w:themeColor="text1"/>
                    </w:rPr>
                    <w:t>稀释接种法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3" w:type="dxa"/>
                  <w:shd w:val="clear" w:color="auto" w:fill="auto"/>
                  <w:vAlign w:val="center"/>
                </w:tcPr>
                <w:p>
                  <w:pPr>
                    <w:pStyle w:val="68"/>
                    <w:rPr>
                      <w:color w:val="auto"/>
                    </w:rPr>
                  </w:pPr>
                  <w:r>
                    <w:rPr>
                      <w:rFonts w:hint="eastAsia"/>
                      <w:color w:val="auto"/>
                    </w:rPr>
                    <w:t>3</w:t>
                  </w:r>
                </w:p>
              </w:tc>
              <w:tc>
                <w:tcPr>
                  <w:tcW w:w="687" w:type="dxa"/>
                  <w:vMerge w:val="continue"/>
                  <w:shd w:val="clear" w:color="auto" w:fill="auto"/>
                  <w:vAlign w:val="center"/>
                </w:tcPr>
                <w:p>
                  <w:pPr>
                    <w:pStyle w:val="68"/>
                    <w:rPr>
                      <w:color w:val="auto"/>
                    </w:rPr>
                  </w:pPr>
                </w:p>
              </w:tc>
              <w:tc>
                <w:tcPr>
                  <w:tcW w:w="962" w:type="dxa"/>
                  <w:shd w:val="clear" w:color="auto" w:fill="auto"/>
                  <w:vAlign w:val="center"/>
                </w:tcPr>
                <w:p>
                  <w:pPr>
                    <w:pStyle w:val="68"/>
                    <w:rPr>
                      <w:color w:val="auto"/>
                    </w:rPr>
                  </w:pPr>
                  <w:r>
                    <w:rPr>
                      <w:color w:val="auto"/>
                    </w:rPr>
                    <w:t>SS</w:t>
                  </w:r>
                </w:p>
              </w:tc>
              <w:tc>
                <w:tcPr>
                  <w:tcW w:w="725" w:type="dxa"/>
                  <w:vMerge w:val="continue"/>
                  <w:shd w:val="clear" w:color="auto" w:fill="auto"/>
                  <w:vAlign w:val="center"/>
                </w:tcPr>
                <w:p>
                  <w:pPr>
                    <w:pStyle w:val="68"/>
                    <w:rPr>
                      <w:color w:val="auto"/>
                    </w:rPr>
                  </w:pPr>
                </w:p>
              </w:tc>
              <w:tc>
                <w:tcPr>
                  <w:tcW w:w="875" w:type="dxa"/>
                  <w:vMerge w:val="continue"/>
                  <w:shd w:val="clear" w:color="auto" w:fill="auto"/>
                  <w:vAlign w:val="center"/>
                </w:tcPr>
                <w:p>
                  <w:pPr>
                    <w:pStyle w:val="68"/>
                    <w:rPr>
                      <w:color w:val="auto"/>
                    </w:rPr>
                  </w:pPr>
                </w:p>
              </w:tc>
              <w:tc>
                <w:tcPr>
                  <w:tcW w:w="620" w:type="dxa"/>
                  <w:vMerge w:val="continue"/>
                  <w:shd w:val="clear" w:color="auto" w:fill="auto"/>
                  <w:vAlign w:val="center"/>
                </w:tcPr>
                <w:p>
                  <w:pPr>
                    <w:pStyle w:val="68"/>
                    <w:rPr>
                      <w:color w:val="auto"/>
                    </w:rPr>
                  </w:pPr>
                </w:p>
              </w:tc>
              <w:tc>
                <w:tcPr>
                  <w:tcW w:w="611" w:type="dxa"/>
                  <w:vMerge w:val="continue"/>
                  <w:shd w:val="clear" w:color="auto" w:fill="auto"/>
                  <w:vAlign w:val="center"/>
                </w:tcPr>
                <w:p>
                  <w:pPr>
                    <w:pStyle w:val="68"/>
                    <w:rPr>
                      <w:color w:val="auto"/>
                    </w:rPr>
                  </w:pPr>
                </w:p>
              </w:tc>
              <w:tc>
                <w:tcPr>
                  <w:tcW w:w="608" w:type="dxa"/>
                  <w:vMerge w:val="continue"/>
                  <w:shd w:val="clear" w:color="auto" w:fill="auto"/>
                  <w:vAlign w:val="center"/>
                </w:tcPr>
                <w:p>
                  <w:pPr>
                    <w:pStyle w:val="68"/>
                    <w:rPr>
                      <w:color w:val="auto"/>
                    </w:rPr>
                  </w:pPr>
                </w:p>
              </w:tc>
              <w:tc>
                <w:tcPr>
                  <w:tcW w:w="610" w:type="dxa"/>
                  <w:vMerge w:val="continue"/>
                  <w:shd w:val="clear" w:color="auto" w:fill="auto"/>
                  <w:vAlign w:val="center"/>
                </w:tcPr>
                <w:p>
                  <w:pPr>
                    <w:pStyle w:val="68"/>
                    <w:rPr>
                      <w:color w:val="auto"/>
                    </w:rPr>
                  </w:pPr>
                </w:p>
              </w:tc>
              <w:tc>
                <w:tcPr>
                  <w:tcW w:w="1910" w:type="dxa"/>
                  <w:shd w:val="clear" w:color="auto" w:fill="auto"/>
                  <w:vAlign w:val="center"/>
                </w:tcPr>
                <w:p>
                  <w:pPr>
                    <w:pStyle w:val="68"/>
                    <w:rPr>
                      <w:color w:val="auto"/>
                    </w:rPr>
                  </w:pPr>
                  <w:r>
                    <w:rPr>
                      <w:color w:val="auto"/>
                    </w:rPr>
                    <w:t>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3" w:type="dxa"/>
                  <w:shd w:val="clear" w:color="auto" w:fill="auto"/>
                  <w:vAlign w:val="center"/>
                </w:tcPr>
                <w:p>
                  <w:pPr>
                    <w:pStyle w:val="68"/>
                    <w:rPr>
                      <w:color w:val="auto"/>
                    </w:rPr>
                  </w:pPr>
                  <w:r>
                    <w:rPr>
                      <w:rFonts w:hint="eastAsia"/>
                      <w:color w:val="auto"/>
                    </w:rPr>
                    <w:t>4</w:t>
                  </w:r>
                </w:p>
              </w:tc>
              <w:tc>
                <w:tcPr>
                  <w:tcW w:w="687" w:type="dxa"/>
                  <w:vMerge w:val="continue"/>
                  <w:shd w:val="clear" w:color="auto" w:fill="auto"/>
                  <w:vAlign w:val="center"/>
                </w:tcPr>
                <w:p>
                  <w:pPr>
                    <w:pStyle w:val="68"/>
                    <w:rPr>
                      <w:color w:val="auto"/>
                    </w:rPr>
                  </w:pPr>
                </w:p>
              </w:tc>
              <w:tc>
                <w:tcPr>
                  <w:tcW w:w="962" w:type="dxa"/>
                  <w:shd w:val="clear" w:color="auto" w:fill="auto"/>
                  <w:vAlign w:val="center"/>
                </w:tcPr>
                <w:p>
                  <w:pPr>
                    <w:pStyle w:val="68"/>
                    <w:rPr>
                      <w:color w:val="auto"/>
                    </w:rPr>
                  </w:pPr>
                  <w:r>
                    <w:rPr>
                      <w:color w:val="auto"/>
                    </w:rPr>
                    <w:t>氨氮</w:t>
                  </w:r>
                </w:p>
              </w:tc>
              <w:tc>
                <w:tcPr>
                  <w:tcW w:w="725" w:type="dxa"/>
                  <w:vMerge w:val="continue"/>
                  <w:shd w:val="clear" w:color="auto" w:fill="auto"/>
                  <w:vAlign w:val="center"/>
                </w:tcPr>
                <w:p>
                  <w:pPr>
                    <w:pStyle w:val="68"/>
                    <w:rPr>
                      <w:color w:val="auto"/>
                    </w:rPr>
                  </w:pPr>
                </w:p>
              </w:tc>
              <w:tc>
                <w:tcPr>
                  <w:tcW w:w="875" w:type="dxa"/>
                  <w:vMerge w:val="continue"/>
                  <w:shd w:val="clear" w:color="auto" w:fill="auto"/>
                  <w:vAlign w:val="center"/>
                </w:tcPr>
                <w:p>
                  <w:pPr>
                    <w:pStyle w:val="68"/>
                    <w:rPr>
                      <w:color w:val="auto"/>
                    </w:rPr>
                  </w:pPr>
                </w:p>
              </w:tc>
              <w:tc>
                <w:tcPr>
                  <w:tcW w:w="620" w:type="dxa"/>
                  <w:vMerge w:val="continue"/>
                  <w:shd w:val="clear" w:color="auto" w:fill="auto"/>
                  <w:vAlign w:val="center"/>
                </w:tcPr>
                <w:p>
                  <w:pPr>
                    <w:pStyle w:val="68"/>
                    <w:rPr>
                      <w:color w:val="auto"/>
                    </w:rPr>
                  </w:pPr>
                </w:p>
              </w:tc>
              <w:tc>
                <w:tcPr>
                  <w:tcW w:w="611" w:type="dxa"/>
                  <w:vMerge w:val="continue"/>
                  <w:shd w:val="clear" w:color="auto" w:fill="auto"/>
                  <w:vAlign w:val="center"/>
                </w:tcPr>
                <w:p>
                  <w:pPr>
                    <w:pStyle w:val="68"/>
                    <w:rPr>
                      <w:color w:val="auto"/>
                    </w:rPr>
                  </w:pPr>
                </w:p>
              </w:tc>
              <w:tc>
                <w:tcPr>
                  <w:tcW w:w="608" w:type="dxa"/>
                  <w:vMerge w:val="continue"/>
                  <w:shd w:val="clear" w:color="auto" w:fill="auto"/>
                  <w:vAlign w:val="center"/>
                </w:tcPr>
                <w:p>
                  <w:pPr>
                    <w:pStyle w:val="68"/>
                    <w:rPr>
                      <w:color w:val="auto"/>
                    </w:rPr>
                  </w:pPr>
                </w:p>
              </w:tc>
              <w:tc>
                <w:tcPr>
                  <w:tcW w:w="610" w:type="dxa"/>
                  <w:vMerge w:val="continue"/>
                  <w:shd w:val="clear" w:color="auto" w:fill="auto"/>
                  <w:vAlign w:val="center"/>
                </w:tcPr>
                <w:p>
                  <w:pPr>
                    <w:pStyle w:val="68"/>
                    <w:rPr>
                      <w:color w:val="auto"/>
                    </w:rPr>
                  </w:pPr>
                </w:p>
              </w:tc>
              <w:tc>
                <w:tcPr>
                  <w:tcW w:w="1910" w:type="dxa"/>
                  <w:shd w:val="clear" w:color="auto" w:fill="auto"/>
                  <w:vAlign w:val="center"/>
                </w:tcPr>
                <w:p>
                  <w:pPr>
                    <w:pStyle w:val="68"/>
                    <w:rPr>
                      <w:color w:val="auto"/>
                    </w:rPr>
                  </w:pPr>
                  <w:r>
                    <w:rPr>
                      <w:color w:val="auto"/>
                    </w:rPr>
                    <w:t>纳氏试剂分光光度法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3" w:type="dxa"/>
                  <w:shd w:val="clear" w:color="auto" w:fill="auto"/>
                  <w:vAlign w:val="center"/>
                </w:tcPr>
                <w:p>
                  <w:pPr>
                    <w:pStyle w:val="68"/>
                    <w:rPr>
                      <w:color w:val="auto"/>
                    </w:rPr>
                  </w:pPr>
                  <w:r>
                    <w:rPr>
                      <w:rFonts w:hint="eastAsia"/>
                      <w:color w:val="auto"/>
                    </w:rPr>
                    <w:t>5</w:t>
                  </w:r>
                </w:p>
              </w:tc>
              <w:tc>
                <w:tcPr>
                  <w:tcW w:w="687" w:type="dxa"/>
                  <w:vMerge w:val="continue"/>
                  <w:shd w:val="clear" w:color="auto" w:fill="auto"/>
                  <w:vAlign w:val="center"/>
                </w:tcPr>
                <w:p>
                  <w:pPr>
                    <w:pStyle w:val="68"/>
                    <w:rPr>
                      <w:color w:val="auto"/>
                    </w:rPr>
                  </w:pPr>
                </w:p>
              </w:tc>
              <w:tc>
                <w:tcPr>
                  <w:tcW w:w="962" w:type="dxa"/>
                  <w:shd w:val="clear" w:color="auto" w:fill="auto"/>
                  <w:vAlign w:val="center"/>
                </w:tcPr>
                <w:p>
                  <w:pPr>
                    <w:pStyle w:val="68"/>
                    <w:rPr>
                      <w:color w:val="auto"/>
                    </w:rPr>
                  </w:pPr>
                  <w:r>
                    <w:rPr>
                      <w:color w:val="auto"/>
                    </w:rPr>
                    <w:t>动植物油</w:t>
                  </w:r>
                </w:p>
              </w:tc>
              <w:tc>
                <w:tcPr>
                  <w:tcW w:w="725" w:type="dxa"/>
                  <w:vMerge w:val="continue"/>
                  <w:shd w:val="clear" w:color="auto" w:fill="auto"/>
                  <w:vAlign w:val="center"/>
                </w:tcPr>
                <w:p>
                  <w:pPr>
                    <w:pStyle w:val="68"/>
                    <w:rPr>
                      <w:color w:val="auto"/>
                    </w:rPr>
                  </w:pPr>
                </w:p>
              </w:tc>
              <w:tc>
                <w:tcPr>
                  <w:tcW w:w="875" w:type="dxa"/>
                  <w:vMerge w:val="continue"/>
                  <w:shd w:val="clear" w:color="auto" w:fill="auto"/>
                  <w:vAlign w:val="center"/>
                </w:tcPr>
                <w:p>
                  <w:pPr>
                    <w:pStyle w:val="68"/>
                    <w:rPr>
                      <w:color w:val="auto"/>
                    </w:rPr>
                  </w:pPr>
                </w:p>
              </w:tc>
              <w:tc>
                <w:tcPr>
                  <w:tcW w:w="620" w:type="dxa"/>
                  <w:vMerge w:val="continue"/>
                  <w:shd w:val="clear" w:color="auto" w:fill="auto"/>
                  <w:vAlign w:val="center"/>
                </w:tcPr>
                <w:p>
                  <w:pPr>
                    <w:pStyle w:val="68"/>
                    <w:rPr>
                      <w:color w:val="auto"/>
                    </w:rPr>
                  </w:pPr>
                </w:p>
              </w:tc>
              <w:tc>
                <w:tcPr>
                  <w:tcW w:w="611" w:type="dxa"/>
                  <w:vMerge w:val="continue"/>
                  <w:shd w:val="clear" w:color="auto" w:fill="auto"/>
                  <w:vAlign w:val="center"/>
                </w:tcPr>
                <w:p>
                  <w:pPr>
                    <w:pStyle w:val="68"/>
                    <w:rPr>
                      <w:color w:val="auto"/>
                    </w:rPr>
                  </w:pPr>
                </w:p>
              </w:tc>
              <w:tc>
                <w:tcPr>
                  <w:tcW w:w="608" w:type="dxa"/>
                  <w:vMerge w:val="continue"/>
                  <w:shd w:val="clear" w:color="auto" w:fill="auto"/>
                  <w:vAlign w:val="center"/>
                </w:tcPr>
                <w:p>
                  <w:pPr>
                    <w:pStyle w:val="68"/>
                    <w:rPr>
                      <w:color w:val="auto"/>
                    </w:rPr>
                  </w:pPr>
                </w:p>
              </w:tc>
              <w:tc>
                <w:tcPr>
                  <w:tcW w:w="610" w:type="dxa"/>
                  <w:vMerge w:val="continue"/>
                  <w:shd w:val="clear" w:color="auto" w:fill="auto"/>
                  <w:vAlign w:val="center"/>
                </w:tcPr>
                <w:p>
                  <w:pPr>
                    <w:pStyle w:val="68"/>
                    <w:rPr>
                      <w:color w:val="auto"/>
                    </w:rPr>
                  </w:pPr>
                </w:p>
              </w:tc>
              <w:tc>
                <w:tcPr>
                  <w:tcW w:w="1910" w:type="dxa"/>
                  <w:shd w:val="clear" w:color="auto" w:fill="auto"/>
                  <w:vAlign w:val="center"/>
                </w:tcPr>
                <w:p>
                  <w:pPr>
                    <w:pStyle w:val="68"/>
                    <w:rPr>
                      <w:color w:val="auto"/>
                    </w:rPr>
                  </w:pPr>
                  <w:r>
                    <w:rPr>
                      <w:color w:val="auto"/>
                      <w:kern w:val="0"/>
                    </w:rPr>
                    <w:t>水质石油类和动植物油的测定红外光度法GB/T 16488-1996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3" w:type="dxa"/>
                  <w:shd w:val="clear" w:color="auto" w:fill="auto"/>
                  <w:vAlign w:val="center"/>
                </w:tcPr>
                <w:p>
                  <w:pPr>
                    <w:pStyle w:val="68"/>
                    <w:rPr>
                      <w:color w:val="auto"/>
                    </w:rPr>
                  </w:pPr>
                  <w:r>
                    <w:rPr>
                      <w:rFonts w:hint="eastAsia"/>
                      <w:color w:val="auto"/>
                    </w:rPr>
                    <w:t>6</w:t>
                  </w:r>
                </w:p>
              </w:tc>
              <w:tc>
                <w:tcPr>
                  <w:tcW w:w="687" w:type="dxa"/>
                  <w:vMerge w:val="continue"/>
                  <w:shd w:val="clear" w:color="auto" w:fill="auto"/>
                  <w:vAlign w:val="center"/>
                </w:tcPr>
                <w:p>
                  <w:pPr>
                    <w:pStyle w:val="68"/>
                    <w:rPr>
                      <w:color w:val="auto"/>
                    </w:rPr>
                  </w:pPr>
                </w:p>
              </w:tc>
              <w:tc>
                <w:tcPr>
                  <w:tcW w:w="962" w:type="dxa"/>
                  <w:shd w:val="clear" w:color="auto" w:fill="auto"/>
                  <w:vAlign w:val="center"/>
                </w:tcPr>
                <w:p>
                  <w:pPr>
                    <w:pStyle w:val="68"/>
                    <w:rPr>
                      <w:color w:val="auto"/>
                    </w:rPr>
                  </w:pPr>
                  <w:r>
                    <w:rPr>
                      <w:color w:val="auto"/>
                    </w:rPr>
                    <w:t>总磷</w:t>
                  </w:r>
                </w:p>
              </w:tc>
              <w:tc>
                <w:tcPr>
                  <w:tcW w:w="725" w:type="dxa"/>
                  <w:shd w:val="clear" w:color="auto" w:fill="auto"/>
                  <w:vAlign w:val="center"/>
                </w:tcPr>
                <w:p>
                  <w:pPr>
                    <w:pStyle w:val="68"/>
                    <w:rPr>
                      <w:color w:val="auto"/>
                    </w:rPr>
                  </w:pPr>
                  <w:r>
                    <w:rPr>
                      <w:color w:val="auto"/>
                    </w:rPr>
                    <w:t>■自动</w:t>
                  </w:r>
                </w:p>
                <w:p>
                  <w:pPr>
                    <w:pStyle w:val="68"/>
                    <w:rPr>
                      <w:color w:val="auto"/>
                    </w:rPr>
                  </w:pPr>
                  <w:r>
                    <w:rPr>
                      <w:color w:val="auto"/>
                    </w:rPr>
                    <w:t>□手工</w:t>
                  </w:r>
                </w:p>
              </w:tc>
              <w:tc>
                <w:tcPr>
                  <w:tcW w:w="875" w:type="dxa"/>
                  <w:shd w:val="clear" w:color="auto" w:fill="auto"/>
                  <w:vAlign w:val="center"/>
                </w:tcPr>
                <w:p>
                  <w:pPr>
                    <w:pStyle w:val="68"/>
                    <w:rPr>
                      <w:color w:val="auto"/>
                    </w:rPr>
                  </w:pPr>
                  <w:r>
                    <w:rPr>
                      <w:color w:val="auto"/>
                    </w:rPr>
                    <w:t>自动</w:t>
                  </w:r>
                </w:p>
              </w:tc>
              <w:tc>
                <w:tcPr>
                  <w:tcW w:w="620" w:type="dxa"/>
                  <w:shd w:val="clear" w:color="auto" w:fill="auto"/>
                  <w:vAlign w:val="center"/>
                </w:tcPr>
                <w:p>
                  <w:pPr>
                    <w:pStyle w:val="68"/>
                    <w:rPr>
                      <w:color w:val="auto"/>
                    </w:rPr>
                  </w:pPr>
                  <w:r>
                    <w:rPr>
                      <w:color w:val="auto"/>
                    </w:rPr>
                    <w:t>是</w:t>
                  </w:r>
                </w:p>
              </w:tc>
              <w:tc>
                <w:tcPr>
                  <w:tcW w:w="611" w:type="dxa"/>
                  <w:shd w:val="clear" w:color="auto" w:fill="auto"/>
                  <w:vAlign w:val="center"/>
                </w:tcPr>
                <w:p>
                  <w:pPr>
                    <w:pStyle w:val="68"/>
                    <w:rPr>
                      <w:color w:val="auto"/>
                    </w:rPr>
                  </w:pPr>
                  <w:r>
                    <w:rPr>
                      <w:color w:val="auto"/>
                    </w:rPr>
                    <w:t>废水检测仪</w:t>
                  </w:r>
                </w:p>
              </w:tc>
              <w:tc>
                <w:tcPr>
                  <w:tcW w:w="608" w:type="dxa"/>
                  <w:shd w:val="clear" w:color="auto" w:fill="auto"/>
                  <w:vAlign w:val="center"/>
                </w:tcPr>
                <w:p>
                  <w:pPr>
                    <w:pStyle w:val="68"/>
                    <w:rPr>
                      <w:color w:val="auto"/>
                    </w:rPr>
                  </w:pPr>
                  <w:r>
                    <w:rPr>
                      <w:color w:val="auto"/>
                    </w:rPr>
                    <w:t>混合采样3个</w:t>
                  </w:r>
                </w:p>
              </w:tc>
              <w:tc>
                <w:tcPr>
                  <w:tcW w:w="610" w:type="dxa"/>
                  <w:shd w:val="clear" w:color="auto" w:fill="auto"/>
                  <w:vAlign w:val="center"/>
                </w:tcPr>
                <w:p>
                  <w:pPr>
                    <w:pStyle w:val="68"/>
                    <w:rPr>
                      <w:color w:val="auto"/>
                    </w:rPr>
                  </w:pPr>
                  <w:r>
                    <w:rPr>
                      <w:rFonts w:hint="eastAsia"/>
                      <w:color w:val="auto"/>
                    </w:rPr>
                    <w:t>1</w:t>
                  </w:r>
                  <w:r>
                    <w:rPr>
                      <w:color w:val="auto"/>
                    </w:rPr>
                    <w:t>次/</w:t>
                  </w:r>
                  <w:r>
                    <w:rPr>
                      <w:rFonts w:hint="eastAsia"/>
                      <w:color w:val="auto"/>
                    </w:rPr>
                    <w:t>年</w:t>
                  </w:r>
                </w:p>
              </w:tc>
              <w:tc>
                <w:tcPr>
                  <w:tcW w:w="1910" w:type="dxa"/>
                  <w:shd w:val="clear" w:color="auto" w:fill="auto"/>
                  <w:vAlign w:val="center"/>
                </w:tcPr>
                <w:p>
                  <w:pPr>
                    <w:pStyle w:val="68"/>
                    <w:rPr>
                      <w:color w:val="auto"/>
                    </w:rPr>
                  </w:pPr>
                  <w:r>
                    <w:rPr>
                      <w:color w:val="auto"/>
                      <w:kern w:val="0"/>
                    </w:rPr>
                    <w:t>水质总磷的测定流动注射-钼酸铵分光光度法HJ 671-2013</w:t>
                  </w:r>
                </w:p>
              </w:tc>
            </w:tr>
          </w:tbl>
          <w:p>
            <w:pPr>
              <w:spacing w:line="360" w:lineRule="auto"/>
              <w:ind w:left="482"/>
              <w:rPr>
                <w:b/>
                <w:sz w:val="24"/>
              </w:rPr>
            </w:pPr>
            <w:r>
              <w:rPr>
                <w:rFonts w:hint="eastAsia"/>
                <w:b/>
                <w:sz w:val="24"/>
              </w:rPr>
              <w:t>4、厂区污水处理站工艺</w:t>
            </w:r>
          </w:p>
          <w:p>
            <w:pPr>
              <w:spacing w:line="360" w:lineRule="auto"/>
              <w:ind w:left="482"/>
              <w:rPr>
                <w:sz w:val="24"/>
              </w:rPr>
            </w:pPr>
            <w:r>
              <w:rPr>
                <w:rFonts w:hint="eastAsia"/>
                <w:sz w:val="24"/>
              </w:rPr>
              <w:t>（1）项目生产废水处理工艺流程如下：</w:t>
            </w:r>
          </w:p>
          <w:p>
            <w:pPr>
              <w:pStyle w:val="7"/>
              <w:spacing w:line="360" w:lineRule="auto"/>
              <w:ind w:firstLine="0" w:firstLineChars="0"/>
              <w:rPr>
                <w:sz w:val="24"/>
              </w:rPr>
            </w:pPr>
            <w:r>
              <w:pict>
                <v:group id="_x0000_s2173" o:spid="_x0000_s2173" o:spt="203" style="height:331.4pt;width:397.3pt;" coordorigin="2361,7156" coordsize="7200,6005" editas="canvas">
                  <o:lock v:ext="edit"/>
                  <v:shape id="_x0000_s1255" o:spid="_x0000_s1255" o:spt="75" type="#_x0000_t75" style="position:absolute;left:2361;top:7156;height:6005;width:7200;" filled="f" o:preferrelative="t" stroked="f" coordsize="21600,21600">
                    <v:path/>
                    <v:fill on="f" focussize="0,0"/>
                    <v:stroke on="f" joinstyle="miter"/>
                    <v:imagedata o:title=""/>
                    <o:lock v:ext="edit" text="t" aspectratio="t"/>
                  </v:shape>
                  <v:rect id="_x0000_s2174" o:spid="_x0000_s2174" o:spt="1" style="position:absolute;left:5007;top:7247;height:374;width:1215;" filled="f" coordsize="21600,21600">
                    <v:path/>
                    <v:fill on="f" focussize="0,0"/>
                    <v:stroke/>
                    <v:imagedata o:title=""/>
                    <o:lock v:ext="edit"/>
                    <v:textbox>
                      <w:txbxContent>
                        <w:p>
                          <w:pPr>
                            <w:jc w:val="center"/>
                          </w:pPr>
                          <w:r>
                            <w:rPr>
                              <w:rFonts w:hint="eastAsia"/>
                            </w:rPr>
                            <w:t>污水</w:t>
                          </w:r>
                        </w:p>
                      </w:txbxContent>
                    </v:textbox>
                  </v:rect>
                  <v:rect id="_x0000_s2175" o:spid="_x0000_s2175" o:spt="1" style="position:absolute;left:4724;top:7881;height:398;width:1938;" filled="f" coordsize="21600,21600">
                    <v:path/>
                    <v:fill on="f" focussize="0,0"/>
                    <v:stroke/>
                    <v:imagedata o:title=""/>
                    <o:lock v:ext="edit"/>
                    <v:textbox>
                      <w:txbxContent>
                        <w:p>
                          <w:pPr>
                            <w:jc w:val="center"/>
                          </w:pPr>
                          <w:r>
                            <w:rPr>
                              <w:rFonts w:hint="eastAsia"/>
                            </w:rPr>
                            <w:t>机械格栅/集水池/泵</w:t>
                          </w:r>
                        </w:p>
                      </w:txbxContent>
                    </v:textbox>
                  </v:rect>
                  <v:shape id="_x0000_s2176" o:spid="_x0000_s2176" o:spt="32" type="#_x0000_t32" style="position:absolute;left:5617;top:7634;flip:x;height:262;width:11;" filled="f" coordsize="21600,21600">
                    <v:path arrowok="t"/>
                    <v:fill on="f" focussize="0,0"/>
                    <v:stroke endarrow="block"/>
                    <v:imagedata o:title=""/>
                    <o:lock v:ext="edit"/>
                  </v:shape>
                  <v:shape id="_x0000_s2186" o:spid="_x0000_s2186" o:spt="34" type="#_x0000_t34" style="position:absolute;left:6278;top:10504;flip:x y;height:612;width:79;" filled="f" coordsize="21600,21600" adj="-93103">
                    <v:path arrowok="t"/>
                    <v:fill on="f" focussize="0,0"/>
                    <v:stroke endarrow="block"/>
                    <v:imagedata o:title=""/>
                    <o:lock v:ext="edit"/>
                  </v:shape>
                  <v:rect id="_x0000_s2187" o:spid="_x0000_s2187" o:spt="1" style="position:absolute;left:6664;top:10401;height:980;width:433;" filled="f" stroked="f" coordsize="21600,21600">
                    <v:path/>
                    <v:fill on="f" focussize="0,0"/>
                    <v:stroke on="f"/>
                    <v:imagedata o:title=""/>
                    <o:lock v:ext="edit"/>
                    <v:textbox>
                      <w:txbxContent>
                        <w:p>
                          <w:pPr>
                            <w:jc w:val="center"/>
                          </w:pPr>
                          <w:r>
                            <w:rPr>
                              <w:rFonts w:hint="eastAsia"/>
                            </w:rPr>
                            <w:t>水回流</w:t>
                          </w:r>
                        </w:p>
                      </w:txbxContent>
                    </v:textbox>
                  </v:rect>
                  <v:shape id="_x0000_s2384" o:spid="_x0000_s2384" o:spt="32" type="#_x0000_t32" style="position:absolute;left:5641;top:8285;flip:x;height:253;width:0;" filled="f" coordsize="21600,21600">
                    <v:path arrowok="t"/>
                    <v:fill on="f" focussize="0,0"/>
                    <v:stroke endarrow="block"/>
                    <v:imagedata o:title=""/>
                    <o:lock v:ext="edit"/>
                  </v:shape>
                  <v:rect id="_x0000_s2385" o:spid="_x0000_s2385" o:spt="1" style="position:absolute;left:5052;top:8534;height:363;width:1214;" filled="f" coordsize="21600,21600">
                    <v:path/>
                    <v:fill on="f" focussize="0,0"/>
                    <v:stroke/>
                    <v:imagedata o:title=""/>
                    <o:lock v:ext="edit"/>
                    <v:textbox>
                      <w:txbxContent>
                        <w:p>
                          <w:pPr>
                            <w:jc w:val="center"/>
                          </w:pPr>
                          <w:r>
                            <w:rPr>
                              <w:rFonts w:hint="eastAsia"/>
                            </w:rPr>
                            <w:t>调节池/泵</w:t>
                          </w:r>
                        </w:p>
                      </w:txbxContent>
                    </v:textbox>
                  </v:rect>
                  <v:shape id="_x0000_s2386" o:spid="_x0000_s2386" o:spt="32" type="#_x0000_t32" style="position:absolute;left:5652;top:8896;flip:x;height:235;width:0;" filled="f" coordsize="21600,21600">
                    <v:path arrowok="t"/>
                    <v:fill on="f" focussize="0,0"/>
                    <v:stroke endarrow="block"/>
                    <v:imagedata o:title=""/>
                    <o:lock v:ext="edit"/>
                  </v:shape>
                  <v:shape id="_x0000_s2387" o:spid="_x0000_s2387" o:spt="32" type="#_x0000_t32" style="position:absolute;left:6273;top:8716;flip:x;height:7;width:490;" filled="f" coordsize="21600,21600">
                    <v:path arrowok="t"/>
                    <v:fill on="f" focussize="0,0"/>
                    <v:stroke endarrow="block"/>
                    <v:imagedata o:title=""/>
                    <o:lock v:ext="edit"/>
                  </v:shape>
                  <v:rect id="_x0000_s2388" o:spid="_x0000_s2388" o:spt="1" style="position:absolute;left:6763;top:8545;height:362;width:1214;" filled="f" coordsize="21600,21600">
                    <v:path/>
                    <v:fill on="f" focussize="0,0"/>
                    <v:stroke/>
                    <v:imagedata o:title=""/>
                    <o:lock v:ext="edit"/>
                    <v:textbox>
                      <w:txbxContent>
                        <w:p>
                          <w:pPr>
                            <w:jc w:val="center"/>
                          </w:pPr>
                          <w:r>
                            <w:rPr>
                              <w:rFonts w:hint="eastAsia"/>
                            </w:rPr>
                            <w:t>应急池/泵</w:t>
                          </w:r>
                        </w:p>
                      </w:txbxContent>
                    </v:textbox>
                  </v:rect>
                  <v:shape id="_x0000_s2389" o:spid="_x0000_s2389" o:spt="33" type="#_x0000_t33" style="position:absolute;left:5629;top:8375;height:170;width:1741;" filled="f" coordsize="21600,21600">
                    <v:path arrowok="t"/>
                    <v:fill on="f" focussize="0,0"/>
                    <v:stroke endarrow="block"/>
                    <v:imagedata o:title=""/>
                    <o:lock v:ext="edit"/>
                  </v:shape>
                  <v:rect id="_x0000_s2390" o:spid="_x0000_s2390" o:spt="1" style="position:absolute;left:5052;top:9122;height:363;width:1214;" filled="f" coordsize="21600,21600">
                    <v:path/>
                    <v:fill on="f" focussize="0,0"/>
                    <v:stroke/>
                    <v:imagedata o:title=""/>
                    <o:lock v:ext="edit"/>
                    <v:textbox>
                      <w:txbxContent>
                        <w:p>
                          <w:pPr>
                            <w:jc w:val="center"/>
                          </w:pPr>
                          <w:r>
                            <w:rPr>
                              <w:rFonts w:hint="eastAsia"/>
                            </w:rPr>
                            <w:t>气浮装置</w:t>
                          </w:r>
                        </w:p>
                      </w:txbxContent>
                    </v:textbox>
                  </v:rect>
                  <v:shape id="_x0000_s2391" o:spid="_x0000_s2391" o:spt="32" type="#_x0000_t32" style="position:absolute;left:4396;top:9303;height:8;width:665;" filled="f" coordsize="21600,21600">
                    <v:path arrowok="t"/>
                    <v:fill on="f" focussize="0,0"/>
                    <v:stroke endarrow="block"/>
                    <v:imagedata o:title=""/>
                    <o:lock v:ext="edit"/>
                  </v:shape>
                  <v:rect id="_x0000_s2392" o:spid="_x0000_s2392" o:spt="1" style="position:absolute;left:3116;top:9089;height:419;width:1467;" filled="f" stroked="f" coordsize="21600,21600">
                    <v:path/>
                    <v:fill on="f" focussize="0,0"/>
                    <v:stroke on="f"/>
                    <v:imagedata o:title=""/>
                    <o:lock v:ext="edit"/>
                    <v:textbox>
                      <w:txbxContent>
                        <w:p>
                          <w:pPr>
                            <w:jc w:val="center"/>
                          </w:pPr>
                          <w:r>
                            <w:rPr>
                              <w:rFonts w:hint="eastAsia"/>
                            </w:rPr>
                            <w:t>PAC、PAM</w:t>
                          </w:r>
                        </w:p>
                      </w:txbxContent>
                    </v:textbox>
                  </v:rect>
                  <v:shape id="_x0000_s2393" o:spid="_x0000_s2393" o:spt="32" type="#_x0000_t32" style="position:absolute;left:5665;top:9485;flip:x;height:217;width:0;" filled="f" coordsize="21600,21600">
                    <v:path arrowok="t"/>
                    <v:fill on="f" focussize="0,0"/>
                    <v:stroke endarrow="block"/>
                    <v:imagedata o:title=""/>
                    <o:lock v:ext="edit"/>
                  </v:shape>
                  <v:rect id="_x0000_s2394" o:spid="_x0000_s2394" o:spt="1" style="position:absolute;left:5053;top:9700;height:363;width:1214;" filled="f" coordsize="21600,21600">
                    <v:path/>
                    <v:fill on="f" focussize="0,0"/>
                    <v:stroke/>
                    <v:imagedata o:title=""/>
                    <o:lock v:ext="edit"/>
                    <v:textbox>
                      <w:txbxContent>
                        <w:p>
                          <w:pPr>
                            <w:jc w:val="center"/>
                          </w:pPr>
                          <w:r>
                            <w:rPr>
                              <w:rFonts w:hint="eastAsia"/>
                            </w:rPr>
                            <w:t>初沉池</w:t>
                          </w:r>
                        </w:p>
                      </w:txbxContent>
                    </v:textbox>
                  </v:rect>
                  <v:shape id="_x0000_s2395" o:spid="_x0000_s2395" o:spt="32" type="#_x0000_t32" style="position:absolute;left:4407;top:9871;height:0;width:652;" filled="f" coordsize="21600,21600">
                    <v:path arrowok="t"/>
                    <v:fill on="f" focussize="0,0"/>
                    <v:stroke endarrow="block"/>
                    <v:imagedata o:title=""/>
                    <o:lock v:ext="edit"/>
                  </v:shape>
                  <v:rect id="_x0000_s2396" o:spid="_x0000_s2396" o:spt="1" style="position:absolute;left:3048;top:9587;height:586;width:1450;" filled="f" stroked="f" coordsize="21600,21600">
                    <v:path/>
                    <v:fill on="f" focussize="0,0"/>
                    <v:stroke on="f"/>
                    <v:imagedata o:title=""/>
                    <o:lock v:ext="edit"/>
                    <v:textbox>
                      <w:txbxContent>
                        <w:p>
                          <w:pPr>
                            <w:jc w:val="center"/>
                          </w:pPr>
                          <w:r>
                            <w:rPr>
                              <w:rFonts w:hint="eastAsia"/>
                            </w:rPr>
                            <w:t>PH调节</w:t>
                          </w:r>
                        </w:p>
                        <w:p>
                          <w:pPr>
                            <w:jc w:val="center"/>
                          </w:pPr>
                          <w:r>
                            <w:rPr>
                              <w:rFonts w:hint="eastAsia"/>
                            </w:rPr>
                            <w:t>PAC、PAM</w:t>
                          </w:r>
                        </w:p>
                      </w:txbxContent>
                    </v:textbox>
                  </v:rect>
                  <v:shape id="_x0000_s2397" o:spid="_x0000_s2397" o:spt="32" type="#_x0000_t32" style="position:absolute;left:5687;top:10073;flip:x;height:254;width:0;" filled="f" coordsize="21600,21600">
                    <v:path arrowok="t"/>
                    <v:fill on="f" focussize="0,0"/>
                    <v:stroke endarrow="block"/>
                    <v:imagedata o:title=""/>
                    <o:lock v:ext="edit"/>
                  </v:shape>
                  <v:rect id="_x0000_s2398" o:spid="_x0000_s2398" o:spt="1" style="position:absolute;left:5064;top:10323;height:362;width:1214;" filled="f" coordsize="21600,21600">
                    <v:path/>
                    <v:fill on="f" focussize="0,0"/>
                    <v:stroke/>
                    <v:imagedata o:title=""/>
                    <o:lock v:ext="edit"/>
                    <v:textbox>
                      <w:txbxContent>
                        <w:p>
                          <w:pPr>
                            <w:jc w:val="center"/>
                          </w:pPr>
                          <w:r>
                            <w:rPr>
                              <w:rFonts w:hint="eastAsia"/>
                            </w:rPr>
                            <w:t>水解酸化</w:t>
                          </w:r>
                        </w:p>
                      </w:txbxContent>
                    </v:textbox>
                  </v:rect>
                  <v:shape id="_x0000_s2399" o:spid="_x0000_s2399" o:spt="32" type="#_x0000_t32" style="position:absolute;left:5698;top:10697;flip:x;height:254;width:0;" filled="f" coordsize="21600,21600">
                    <v:path arrowok="t"/>
                    <v:fill on="f" focussize="0,0"/>
                    <v:stroke endarrow="block"/>
                    <v:imagedata o:title=""/>
                    <o:lock v:ext="edit"/>
                  </v:shape>
                  <v:rect id="_x0000_s2400" o:spid="_x0000_s2400" o:spt="1" style="position:absolute;left:4995;top:10934;height:364;width:1362;" filled="f" coordsize="21600,21600">
                    <v:path/>
                    <v:fill on="f" focussize="0,0"/>
                    <v:stroke/>
                    <v:imagedata o:title=""/>
                    <o:lock v:ext="edit"/>
                    <v:textbox>
                      <w:txbxContent>
                        <w:p>
                          <w:pPr>
                            <w:jc w:val="center"/>
                          </w:pPr>
                          <w:r>
                            <w:rPr>
                              <w:rFonts w:hint="eastAsia"/>
                            </w:rPr>
                            <w:t>接触氧化池</w:t>
                          </w:r>
                        </w:p>
                      </w:txbxContent>
                    </v:textbox>
                  </v:rect>
                  <v:shape id="_x0000_s2401" o:spid="_x0000_s2401" o:spt="32" type="#_x0000_t32" style="position:absolute;left:5687;top:11308;flip:x;height:254;width:0;" filled="f" coordsize="21600,21600">
                    <v:path arrowok="t"/>
                    <v:fill on="f" focussize="0,0"/>
                    <v:stroke endarrow="block"/>
                    <v:imagedata o:title=""/>
                    <o:lock v:ext="edit"/>
                  </v:shape>
                  <v:shape id="_x0000_s2402" o:spid="_x0000_s2402" o:spt="32" type="#_x0000_t32" style="position:absolute;left:4339;top:11127;height:0;width:652;" filled="f" coordsize="21600,21600">
                    <v:path arrowok="t"/>
                    <v:fill on="f" focussize="0,0"/>
                    <v:stroke endarrow="block"/>
                    <v:imagedata o:title=""/>
                    <o:lock v:ext="edit"/>
                  </v:shape>
                  <v:rect id="_x0000_s2403" o:spid="_x0000_s2403" o:spt="1" style="position:absolute;left:2924;top:10923;height:417;width:1449;" filled="f" stroked="f" coordsize="21600,21600">
                    <v:path/>
                    <v:fill on="f" focussize="0,0"/>
                    <v:stroke on="f"/>
                    <v:imagedata o:title=""/>
                    <o:lock v:ext="edit"/>
                    <v:textbox>
                      <w:txbxContent>
                        <w:p>
                          <w:pPr>
                            <w:jc w:val="center"/>
                          </w:pPr>
                          <w:r>
                            <w:rPr>
                              <w:rFonts w:hint="eastAsia"/>
                            </w:rPr>
                            <w:t>鼓风冲氧</w:t>
                          </w:r>
                        </w:p>
                      </w:txbxContent>
                    </v:textbox>
                  </v:rect>
                  <v:rect id="_x0000_s2404" o:spid="_x0000_s2404" o:spt="1" style="position:absolute;left:5041;top:11558;height:362;width:1214;" filled="f" coordsize="21600,21600">
                    <v:path/>
                    <v:fill on="f" focussize="0,0"/>
                    <v:stroke/>
                    <v:imagedata o:title=""/>
                    <o:lock v:ext="edit"/>
                    <v:textbox>
                      <w:txbxContent>
                        <w:p>
                          <w:pPr>
                            <w:jc w:val="center"/>
                          </w:pPr>
                          <w:r>
                            <w:rPr>
                              <w:rFonts w:hint="eastAsia"/>
                            </w:rPr>
                            <w:t>二沉池</w:t>
                          </w:r>
                        </w:p>
                      </w:txbxContent>
                    </v:textbox>
                  </v:rect>
                  <v:rect id="_x0000_s2405" o:spid="_x0000_s2405" o:spt="1" style="position:absolute;left:3036;top:11511;height:418;width:1450;" filled="f" stroked="f" coordsize="21600,21600">
                    <v:path/>
                    <v:fill on="f" focussize="0,0"/>
                    <v:stroke on="f"/>
                    <v:imagedata o:title=""/>
                    <o:lock v:ext="edit"/>
                    <v:textbox>
                      <w:txbxContent>
                        <w:p>
                          <w:pPr>
                            <w:jc w:val="center"/>
                          </w:pPr>
                          <w:r>
                            <w:rPr>
                              <w:rFonts w:hint="eastAsia"/>
                            </w:rPr>
                            <w:t>PAC、PAM</w:t>
                          </w:r>
                        </w:p>
                      </w:txbxContent>
                    </v:textbox>
                  </v:rect>
                  <v:shape id="_x0000_s2406" o:spid="_x0000_s2406" o:spt="32" type="#_x0000_t32" style="position:absolute;left:4396;top:11739;height:0;width:653;" filled="f" coordsize="21600,21600">
                    <v:path arrowok="t"/>
                    <v:fill on="f" focussize="0,0"/>
                    <v:stroke endarrow="block"/>
                    <v:imagedata o:title=""/>
                    <o:lock v:ext="edit"/>
                  </v:shape>
                  <v:shape id="_x0000_s2407" o:spid="_x0000_s2407" o:spt="32" type="#_x0000_t32" style="position:absolute;left:5676;top:11908;flip:x;height:254;width:0;" filled="f" coordsize="21600,21600">
                    <v:path arrowok="t"/>
                    <v:fill on="f" focussize="0,0"/>
                    <v:stroke endarrow="block"/>
                    <v:imagedata o:title=""/>
                    <o:lock v:ext="edit"/>
                  </v:shape>
                  <v:rect id="_x0000_s2408" o:spid="_x0000_s2408" o:spt="1" style="position:absolute;left:5041;top:12158;height:363;width:1214;" filled="f" coordsize="21600,21600">
                    <v:path/>
                    <v:fill on="f" focussize="0,0"/>
                    <v:stroke/>
                    <v:imagedata o:title=""/>
                    <o:lock v:ext="edit"/>
                    <v:textbox>
                      <w:txbxContent>
                        <w:p>
                          <w:pPr>
                            <w:jc w:val="center"/>
                          </w:pPr>
                          <w:r>
                            <w:rPr>
                              <w:rFonts w:hint="eastAsia"/>
                            </w:rPr>
                            <w:t>清水池</w:t>
                          </w:r>
                        </w:p>
                      </w:txbxContent>
                    </v:textbox>
                  </v:rect>
                  <v:shape id="_x0000_s2409" o:spid="_x0000_s2409" o:spt="32" type="#_x0000_t32" style="position:absolute;left:5676;top:12532;flip:x;height:253;width:0;" filled="f" coordsize="21600,21600">
                    <v:path arrowok="t"/>
                    <v:fill on="f" focussize="0,0"/>
                    <v:stroke endarrow="block"/>
                    <v:imagedata o:title=""/>
                    <o:lock v:ext="edit"/>
                  </v:shape>
                  <v:rect id="_x0000_s2410" o:spid="_x0000_s2410" o:spt="1" style="position:absolute;left:4951;top:12744;height:417;width:1449;" filled="f" stroked="f" coordsize="21600,21600">
                    <v:path/>
                    <v:fill on="f" focussize="0,0"/>
                    <v:stroke on="f"/>
                    <v:imagedata o:title=""/>
                    <o:lock v:ext="edit"/>
                    <v:textbox>
                      <w:txbxContent>
                        <w:p>
                          <w:pPr>
                            <w:jc w:val="center"/>
                          </w:pPr>
                          <w:r>
                            <w:rPr>
                              <w:rFonts w:hint="eastAsia"/>
                            </w:rPr>
                            <w:t>污水管网</w:t>
                          </w:r>
                        </w:p>
                      </w:txbxContent>
                    </v:textbox>
                  </v:rect>
                  <v:shape id="_x0000_s2411" o:spid="_x0000_s2411" o:spt="32" type="#_x0000_t32" style="position:absolute;left:6265;top:11761;height:0;width:652;" filled="f" coordsize="21600,21600">
                    <v:path arrowok="t"/>
                    <v:fill on="f" focussize="0,0"/>
                    <v:stroke endarrow="block"/>
                    <v:imagedata o:title=""/>
                    <o:lock v:ext="edit"/>
                  </v:shape>
                  <v:rect id="_x0000_s2412" o:spid="_x0000_s2412" o:spt="1" style="position:absolute;left:6911;top:11592;height:344;width:1214;" filled="f" coordsize="21600,21600">
                    <v:path/>
                    <v:fill on="f" focussize="0,0"/>
                    <v:stroke/>
                    <v:imagedata o:title=""/>
                    <o:lock v:ext="edit"/>
                    <v:textbox>
                      <w:txbxContent>
                        <w:p>
                          <w:pPr>
                            <w:jc w:val="center"/>
                          </w:pPr>
                          <w:r>
                            <w:rPr>
                              <w:rFonts w:hint="eastAsia"/>
                            </w:rPr>
                            <w:t>污泥池/泵</w:t>
                          </w:r>
                        </w:p>
                      </w:txbxContent>
                    </v:textbox>
                  </v:rect>
                  <v:shape id="_x0000_s2413" o:spid="_x0000_s2413" o:spt="34" type="#_x0000_t34" style="position:absolute;left:6277;top:10423;height:1174;width:1275;rotation:11796480f;" filled="f" coordsize="21600,21600" adj="46">
                    <v:path arrowok="t"/>
                    <v:fill on="f" focussize="0,0"/>
                    <v:stroke dashstyle="dash" endarrow="block"/>
                    <v:imagedata o:title=""/>
                    <o:lock v:ext="edit"/>
                  </v:shape>
                  <v:rect id="_x0000_s2414" o:spid="_x0000_s2414" o:spt="1" style="position:absolute;left:7988;top:10844;height:345;width:1501;" filled="f" coordsize="21600,21600">
                    <v:path/>
                    <v:fill on="f" focussize="0,0"/>
                    <v:stroke/>
                    <v:imagedata o:title=""/>
                    <o:lock v:ext="edit"/>
                    <v:textbox>
                      <w:txbxContent>
                        <w:p>
                          <w:pPr>
                            <w:jc w:val="center"/>
                          </w:pPr>
                          <w:r>
                            <w:rPr>
                              <w:rFonts w:hint="eastAsia"/>
                            </w:rPr>
                            <w:t>污泥浓缩池/泵</w:t>
                          </w:r>
                        </w:p>
                      </w:txbxContent>
                    </v:textbox>
                  </v:rect>
                  <v:shape id="_x0000_s2415" o:spid="_x0000_s2415" o:spt="33" type="#_x0000_t33" style="position:absolute;left:6264;top:9870;height:974;width:2475;" filled="f" coordsize="21600,21600">
                    <v:path arrowok="t"/>
                    <v:fill on="f" focussize="0,0"/>
                    <v:stroke dashstyle="dash" endarrow="block"/>
                    <v:imagedata o:title=""/>
                    <o:lock v:ext="edit"/>
                  </v:shape>
                  <v:shape id="_x0000_s2416" o:spid="_x0000_s2416" o:spt="32" type="#_x0000_t32" style="position:absolute;left:7567;top:11008;flip:y;height:6;width:405;" filled="f" coordsize="21600,21600">
                    <v:path arrowok="t"/>
                    <v:fill on="f" focussize="0,0"/>
                    <v:stroke dashstyle="dash" endarrow="block"/>
                    <v:imagedata o:title=""/>
                    <o:lock v:ext="edit"/>
                  </v:shape>
                  <v:shape id="_x0000_s2417" o:spid="_x0000_s2417" o:spt="32" type="#_x0000_t32" style="position:absolute;left:8731;top:11195;flip:x;height:357;width:3;" filled="f" coordsize="21600,21600">
                    <v:path arrowok="t"/>
                    <v:fill on="f" focussize="0,0"/>
                    <v:stroke dashstyle="dash" endarrow="block"/>
                    <v:imagedata o:title=""/>
                    <o:lock v:ext="edit"/>
                  </v:shape>
                  <v:rect id="_x0000_s2418" o:spid="_x0000_s2418" o:spt="1" style="position:absolute;left:8190;top:11547;height:344;width:1252;" filled="f" coordsize="21600,21600">
                    <v:path/>
                    <v:fill on="f" focussize="0,0"/>
                    <v:stroke/>
                    <v:imagedata o:title=""/>
                    <o:lock v:ext="edit"/>
                    <v:textbox>
                      <w:txbxContent>
                        <w:p>
                          <w:pPr>
                            <w:jc w:val="center"/>
                          </w:pPr>
                          <w:r>
                            <w:rPr>
                              <w:rFonts w:hint="eastAsia"/>
                            </w:rPr>
                            <w:t>箱式压滤机</w:t>
                          </w:r>
                        </w:p>
                      </w:txbxContent>
                    </v:textbox>
                  </v:rect>
                  <v:shape id="_x0000_s2419" o:spid="_x0000_s2419" o:spt="32" type="#_x0000_t32" style="position:absolute;left:8756;top:11897;flip:x;height:345;width:0;" filled="f" coordsize="21600,21600">
                    <v:path arrowok="t"/>
                    <v:fill on="f" focussize="0,0"/>
                    <v:stroke dashstyle="dash" endarrow="block"/>
                    <v:imagedata o:title=""/>
                    <o:lock v:ext="edit"/>
                  </v:shape>
                  <v:rect id="_x0000_s2420" o:spid="_x0000_s2420" o:spt="1" style="position:absolute;left:7953;top:12226;height:417;width:1517;" filled="f" stroked="f" coordsize="21600,21600">
                    <v:path/>
                    <v:fill on="f" focussize="0,0"/>
                    <v:stroke on="f"/>
                    <v:imagedata o:title=""/>
                    <o:lock v:ext="edit"/>
                    <v:textbox>
                      <w:txbxContent>
                        <w:p>
                          <w:pPr>
                            <w:jc w:val="center"/>
                          </w:pPr>
                          <w:r>
                            <w:rPr>
                              <w:rFonts w:hint="eastAsia"/>
                            </w:rPr>
                            <w:t>泥饼委外处理</w:t>
                          </w:r>
                        </w:p>
                      </w:txbxContent>
                    </v:textbox>
                  </v:rect>
                  <w10:wrap type="none"/>
                  <w10:anchorlock/>
                </v:group>
              </w:pict>
            </w:r>
          </w:p>
          <w:p>
            <w:pPr>
              <w:pStyle w:val="7"/>
              <w:spacing w:line="360" w:lineRule="auto"/>
              <w:ind w:firstLine="482"/>
              <w:jc w:val="center"/>
              <w:rPr>
                <w:rFonts w:ascii="宋体" w:hAnsi="宋体"/>
                <w:b/>
                <w:sz w:val="24"/>
              </w:rPr>
            </w:pPr>
            <w:r>
              <w:rPr>
                <w:rFonts w:hAnsi="宋体"/>
                <w:b/>
                <w:sz w:val="24"/>
              </w:rPr>
              <w:t>图</w:t>
            </w:r>
            <w:r>
              <w:rPr>
                <w:rFonts w:hint="eastAsia"/>
                <w:b/>
                <w:sz w:val="24"/>
              </w:rPr>
              <w:t>4-1</w:t>
            </w:r>
            <w:r>
              <w:rPr>
                <w:rFonts w:hint="eastAsia" w:ascii="宋体" w:hAnsi="宋体"/>
                <w:b/>
                <w:sz w:val="24"/>
              </w:rPr>
              <w:t xml:space="preserve">  污水处理工艺流程图</w:t>
            </w:r>
          </w:p>
          <w:p>
            <w:pPr>
              <w:pStyle w:val="7"/>
              <w:spacing w:line="360" w:lineRule="auto"/>
              <w:ind w:firstLine="480"/>
              <w:rPr>
                <w:sz w:val="24"/>
              </w:rPr>
            </w:pPr>
            <w:r>
              <w:rPr>
                <w:rFonts w:hint="eastAsia" w:hAnsi="宋体"/>
                <w:sz w:val="24"/>
              </w:rPr>
              <w:t>（2）</w:t>
            </w:r>
            <w:r>
              <w:rPr>
                <w:sz w:val="24"/>
              </w:rPr>
              <w:t xml:space="preserve"> 工艺简介</w:t>
            </w:r>
          </w:p>
          <w:p>
            <w:pPr>
              <w:spacing w:line="360" w:lineRule="auto"/>
              <w:ind w:firstLine="480" w:firstLineChars="200"/>
              <w:jc w:val="left"/>
              <w:outlineLvl w:val="2"/>
              <w:rPr>
                <w:rFonts w:hAnsi="宋体"/>
                <w:sz w:val="24"/>
              </w:rPr>
            </w:pPr>
            <w:r>
              <w:rPr>
                <w:rFonts w:hint="eastAsia" w:hAnsi="宋体"/>
                <w:sz w:val="24"/>
              </w:rPr>
              <w:t>原废水(生产废水和生活污水)重力流入污水处理站集水池，先经机械格栅隔除杂质后，然后泵送至调节池，在此通过穿孔曝气搅拌实现匀质、通过池容实现水量均衡，并在此实现进水浓度的控制。（故障废水切换到应急池暂存，然后连续定量输送至调节池）。</w:t>
            </w:r>
          </w:p>
          <w:p>
            <w:pPr>
              <w:pStyle w:val="2"/>
              <w:spacing w:line="360" w:lineRule="auto"/>
              <w:ind w:firstLine="480" w:firstLineChars="200"/>
            </w:pPr>
            <w:r>
              <w:rPr>
                <w:rFonts w:hint="eastAsia"/>
              </w:rPr>
              <w:t>然后连续定量泵送至气浮前端混凝反应段，在此依次投加 PAC、 PAM 实现絮凝反应，然后进入气浮装置通过溶气发生装置生成的微气泡 带动絮体上浮实现分离，气浮出水注入初沉池。</w:t>
            </w:r>
          </w:p>
          <w:p>
            <w:pPr>
              <w:spacing w:line="360" w:lineRule="auto"/>
              <w:ind w:firstLine="480" w:firstLineChars="200"/>
              <w:jc w:val="left"/>
              <w:outlineLvl w:val="2"/>
              <w:rPr>
                <w:bCs/>
                <w:sz w:val="24"/>
              </w:rPr>
            </w:pPr>
            <w:r>
              <w:rPr>
                <w:rFonts w:hint="eastAsia"/>
                <w:bCs/>
                <w:sz w:val="24"/>
              </w:rPr>
              <w:t>在初沉池前端反应段通过 pH 监控在线调整 pH，然后再依次投加PAC、PAM 进一步实现絮凝反应，然后进入沉淀区域通过重力沉降重用完成悬浮的分离，出水进入水解酸化池。</w:t>
            </w:r>
          </w:p>
          <w:p>
            <w:pPr>
              <w:spacing w:line="360" w:lineRule="auto"/>
              <w:ind w:firstLine="480" w:firstLineChars="200"/>
              <w:jc w:val="left"/>
              <w:outlineLvl w:val="2"/>
              <w:rPr>
                <w:bCs/>
                <w:sz w:val="24"/>
              </w:rPr>
            </w:pPr>
            <w:r>
              <w:rPr>
                <w:rFonts w:hint="eastAsia"/>
                <w:bCs/>
                <w:sz w:val="24"/>
              </w:rPr>
              <w:t>水解酸化池采用生物膜法，在缺氧微生物的作用下，将废水中的难降解有机物降解成易降解有机物。同时对好氧池回流的硝化液进行反硝化将硝态氮转化为氮气释放、从而实现总氮的脱除，经水解后的废水进 入好氧生化处理系统。</w:t>
            </w:r>
          </w:p>
          <w:p>
            <w:pPr>
              <w:spacing w:line="360" w:lineRule="auto"/>
              <w:ind w:firstLine="480" w:firstLineChars="200"/>
              <w:jc w:val="left"/>
              <w:outlineLvl w:val="2"/>
              <w:rPr>
                <w:bCs/>
                <w:sz w:val="24"/>
              </w:rPr>
            </w:pPr>
            <w:r>
              <w:rPr>
                <w:rFonts w:hint="eastAsia"/>
                <w:bCs/>
                <w:sz w:val="24"/>
              </w:rPr>
              <w:t>好氧生化处理系统由接触氧化池、二沉池组成。接触氧化池采用生物膜法，生化池内安装曝气器，在好氧条件下，填料载体表面的生物膜依靠气体的搅动作用，使生长在载体上的微生物充分与废水中的有机物 接触，加快微生物的新陈代谢作用，从而充分实现有机物的降解及氨氮的硝化反应。接触氧化池后设计二沉池，将随水流流出的生物污泥沉积在污泥斗内，定期回流至水解酸化池前端，确保污泥浓度。同时考虑总氮的脱除，进行混合液回流。</w:t>
            </w:r>
          </w:p>
          <w:p>
            <w:pPr>
              <w:spacing w:line="360" w:lineRule="auto"/>
              <w:ind w:left="482"/>
              <w:jc w:val="left"/>
              <w:outlineLvl w:val="2"/>
              <w:rPr>
                <w:b/>
                <w:sz w:val="24"/>
              </w:rPr>
            </w:pPr>
            <w:r>
              <w:rPr>
                <w:rFonts w:hint="eastAsia"/>
                <w:bCs/>
                <w:sz w:val="24"/>
              </w:rPr>
              <w:t>二沉池出水排入排放池，排放池出水作为达标水可外排。</w:t>
            </w:r>
          </w:p>
          <w:p>
            <w:pPr>
              <w:spacing w:line="360" w:lineRule="auto"/>
              <w:ind w:left="482"/>
              <w:jc w:val="left"/>
              <w:outlineLvl w:val="2"/>
              <w:rPr>
                <w:b/>
                <w:sz w:val="24"/>
              </w:rPr>
            </w:pPr>
            <w:r>
              <w:rPr>
                <w:rFonts w:hint="eastAsia"/>
                <w:b/>
                <w:sz w:val="24"/>
              </w:rPr>
              <w:t>5、技术可行性分析</w:t>
            </w:r>
          </w:p>
          <w:p>
            <w:pPr>
              <w:spacing w:line="360" w:lineRule="auto"/>
              <w:ind w:firstLine="480" w:firstLineChars="200"/>
              <w:jc w:val="left"/>
              <w:rPr>
                <w:sz w:val="24"/>
              </w:rPr>
            </w:pPr>
            <w:r>
              <w:rPr>
                <w:rFonts w:hint="eastAsia"/>
                <w:sz w:val="24"/>
              </w:rPr>
              <w:t>根据《排污许可证申请与核发技术规范 橡胶和塑料制品工业》</w:t>
            </w:r>
            <w:r>
              <w:fldChar w:fldCharType="begin"/>
            </w:r>
            <w:r>
              <w:instrText xml:space="preserve"> HYPERLINK "http://www.mee.gov.cn/ywgz/fgbz/bz/bzwb/pwxk/201807/W020180705487846023844.pdf" </w:instrText>
            </w:r>
            <w:r>
              <w:fldChar w:fldCharType="separate"/>
            </w:r>
            <w:r>
              <w:rPr>
                <w:rFonts w:hint="eastAsia"/>
                <w:sz w:val="24"/>
              </w:rPr>
              <w:t>(HJ 1122-2020)</w:t>
            </w:r>
            <w:r>
              <w:rPr>
                <w:rFonts w:hint="eastAsia"/>
                <w:sz w:val="24"/>
              </w:rPr>
              <w:fldChar w:fldCharType="end"/>
            </w:r>
            <w:r>
              <w:rPr>
                <w:rFonts w:hint="eastAsia"/>
                <w:sz w:val="24"/>
              </w:rPr>
              <w:t>中表8中厂区综合废水处理设施排水：①预处理设施：调节、隔油、沉淀，②生化处理设施：厌氧、厌氧-好氧、兼性-好氧、氧化沟、生物转盘，③深度处理设施：高级氧化、生物滤池、混凝沉淀（或澄清）、过滤、活性炭吸附、超滤、反渗透。</w:t>
            </w:r>
          </w:p>
          <w:p>
            <w:pPr>
              <w:spacing w:line="360" w:lineRule="auto"/>
              <w:ind w:firstLine="480" w:firstLineChars="200"/>
              <w:jc w:val="left"/>
              <w:rPr>
                <w:b/>
                <w:sz w:val="24"/>
              </w:rPr>
            </w:pPr>
            <w:r>
              <w:rPr>
                <w:rFonts w:hint="eastAsia"/>
                <w:sz w:val="24"/>
              </w:rPr>
              <w:t>本项目对厂区内综合废水采用调节池+气浮+水解酸化+接触氧化+二沉池，处理达标后排入滁州市第二污水处理厂处理，符合《排污许可证申请与核发技术规范 橡胶和塑料制品工业》</w:t>
            </w:r>
            <w:r>
              <w:fldChar w:fldCharType="begin"/>
            </w:r>
            <w:r>
              <w:instrText xml:space="preserve"> HYPERLINK "http://www.mee.gov.cn/ywgz/fgbz/bz/bzwb/pwxk/201807/W020180705487846023844.pdf" </w:instrText>
            </w:r>
            <w:r>
              <w:fldChar w:fldCharType="separate"/>
            </w:r>
            <w:r>
              <w:rPr>
                <w:rFonts w:hint="eastAsia"/>
                <w:sz w:val="24"/>
              </w:rPr>
              <w:t>(HJ 1122-2020)</w:t>
            </w:r>
            <w:r>
              <w:rPr>
                <w:rFonts w:hint="eastAsia"/>
                <w:sz w:val="24"/>
              </w:rPr>
              <w:fldChar w:fldCharType="end"/>
            </w:r>
            <w:r>
              <w:rPr>
                <w:rFonts w:hint="eastAsia"/>
                <w:sz w:val="24"/>
              </w:rPr>
              <w:t>中要求的可行技术。本项目废水排放量为26.4m</w:t>
            </w:r>
            <w:r>
              <w:rPr>
                <w:rFonts w:hint="eastAsia"/>
                <w:sz w:val="24"/>
                <w:vertAlign w:val="superscript"/>
              </w:rPr>
              <w:t>3</w:t>
            </w:r>
            <w:r>
              <w:rPr>
                <w:rFonts w:hint="eastAsia"/>
                <w:sz w:val="24"/>
              </w:rPr>
              <w:t>/d，现有项目废水排放量为18.13m</w:t>
            </w:r>
            <w:r>
              <w:rPr>
                <w:rFonts w:hint="eastAsia"/>
                <w:sz w:val="24"/>
                <w:vertAlign w:val="superscript"/>
              </w:rPr>
              <w:t>3</w:t>
            </w:r>
            <w:r>
              <w:rPr>
                <w:rFonts w:hint="eastAsia"/>
                <w:sz w:val="24"/>
              </w:rPr>
              <w:t>/d，污水处理站规模为100m</w:t>
            </w:r>
            <w:r>
              <w:rPr>
                <w:rFonts w:hint="eastAsia"/>
                <w:sz w:val="24"/>
                <w:vertAlign w:val="superscript"/>
              </w:rPr>
              <w:t>3</w:t>
            </w:r>
            <w:r>
              <w:rPr>
                <w:rFonts w:hint="eastAsia"/>
                <w:sz w:val="24"/>
              </w:rPr>
              <w:t>/d，完全满足全厂废水处理量。</w:t>
            </w:r>
          </w:p>
          <w:p>
            <w:pPr>
              <w:spacing w:line="360" w:lineRule="auto"/>
              <w:ind w:left="482"/>
              <w:jc w:val="left"/>
              <w:outlineLvl w:val="2"/>
              <w:rPr>
                <w:b/>
                <w:sz w:val="24"/>
              </w:rPr>
            </w:pPr>
          </w:p>
          <w:p>
            <w:pPr>
              <w:spacing w:line="360" w:lineRule="auto"/>
              <w:ind w:left="482"/>
              <w:jc w:val="left"/>
              <w:outlineLvl w:val="2"/>
              <w:rPr>
                <w:b/>
                <w:sz w:val="24"/>
              </w:rPr>
            </w:pPr>
            <w:r>
              <w:rPr>
                <w:rFonts w:hint="eastAsia"/>
                <w:b/>
                <w:sz w:val="24"/>
              </w:rPr>
              <w:t>6、</w:t>
            </w:r>
            <w:r>
              <w:rPr>
                <w:b/>
                <w:sz w:val="24"/>
              </w:rPr>
              <w:t>接管可行性分析</w:t>
            </w:r>
          </w:p>
          <w:p>
            <w:pPr>
              <w:spacing w:line="360" w:lineRule="auto"/>
              <w:ind w:firstLine="480" w:firstLineChars="200"/>
              <w:jc w:val="left"/>
              <w:rPr>
                <w:color w:val="000000"/>
                <w:sz w:val="24"/>
              </w:rPr>
            </w:pPr>
            <w:r>
              <w:rPr>
                <w:rFonts w:hint="eastAsia"/>
                <w:color w:val="000000"/>
                <w:sz w:val="24"/>
              </w:rPr>
              <w:t>（1）</w:t>
            </w:r>
            <w:r>
              <w:rPr>
                <w:color w:val="000000"/>
                <w:sz w:val="24"/>
              </w:rPr>
              <w:t>滁州市第二污水处理厂收水范围及处理工艺</w:t>
            </w:r>
          </w:p>
          <w:p>
            <w:pPr>
              <w:spacing w:line="360" w:lineRule="auto"/>
              <w:ind w:firstLine="480" w:firstLineChars="200"/>
              <w:jc w:val="left"/>
              <w:rPr>
                <w:color w:val="000000"/>
                <w:sz w:val="24"/>
              </w:rPr>
            </w:pPr>
            <w:r>
              <w:rPr>
                <w:rFonts w:hint="eastAsia"/>
                <w:color w:val="000000"/>
                <w:sz w:val="24"/>
              </w:rPr>
              <w:t>根据《滁州市城市排水（防涝）规划》规划的滁州市第二污水处理厂规划范围包括琅琊工业组团、琅琊新区、城北工业组团、城东工业组团。从管网接管方面来看，目前工业园内企业均已实现接管，区内管网已铺设完善，现状工业企业纳管率100%，后期所有企业可实现全部纳管，接管、收集可行。根据最新的《滁州市第二污水处理厂提标改造环境影响报告书》中滁州市第二污水处理厂服务范围为：城北工业园区、琅琊新区、城北区以及示范园区工业废水、职工生活污水及镇区居民生活污水，总服务面积67.38km</w:t>
            </w:r>
            <w:r>
              <w:rPr>
                <w:rFonts w:hint="eastAsia"/>
                <w:color w:val="000000"/>
                <w:sz w:val="24"/>
                <w:vertAlign w:val="superscript"/>
              </w:rPr>
              <w:t>2</w:t>
            </w:r>
            <w:r>
              <w:rPr>
                <w:color w:val="000000"/>
                <w:sz w:val="24"/>
              </w:rPr>
              <w:t>。</w:t>
            </w:r>
          </w:p>
          <w:p>
            <w:pPr>
              <w:spacing w:line="360" w:lineRule="auto"/>
              <w:ind w:firstLine="480" w:firstLineChars="200"/>
              <w:jc w:val="left"/>
              <w:rPr>
                <w:color w:val="000000"/>
                <w:sz w:val="24"/>
              </w:rPr>
            </w:pPr>
            <w:r>
              <w:rPr>
                <w:rFonts w:hint="eastAsia"/>
                <w:color w:val="000000"/>
                <w:sz w:val="24"/>
              </w:rPr>
              <w:t>滁州市第二污水处理厂位于城东工业园区范围内，规划规模为20万吨/日处理能力，现状已建成一期5万吨/日处理能力、二期5万吨/日处理能力，由现有的《城镇污水处理厂污染物排放标准》（GB18918-2002）表1中的一级B标准提升至一级A标准。提标改造工程已投入运行。</w:t>
            </w:r>
          </w:p>
          <w:p>
            <w:pPr>
              <w:spacing w:line="360" w:lineRule="auto"/>
              <w:ind w:firstLine="480" w:firstLineChars="200"/>
              <w:jc w:val="left"/>
              <w:rPr>
                <w:color w:val="000000"/>
                <w:sz w:val="24"/>
              </w:rPr>
            </w:pPr>
            <w:r>
              <w:rPr>
                <w:rFonts w:hint="eastAsia"/>
                <w:color w:val="000000"/>
                <w:sz w:val="24"/>
              </w:rPr>
              <w:t>（2）污水收集范围：本项目位于</w:t>
            </w:r>
            <w:r>
              <w:rPr>
                <w:rFonts w:hint="eastAsia" w:hAnsi="宋体"/>
                <w:sz w:val="24"/>
              </w:rPr>
              <w:t>滁州市苏滁产业园常州南路611号</w:t>
            </w:r>
            <w:r>
              <w:rPr>
                <w:rFonts w:hint="eastAsia"/>
                <w:color w:val="000000"/>
                <w:sz w:val="24"/>
              </w:rPr>
              <w:t>，属于苏滁产业园，在滁州市第二污水处理厂服务范围内，项目区已配套污水管网，可以收纳本项目废水。</w:t>
            </w:r>
          </w:p>
          <w:p>
            <w:pPr>
              <w:spacing w:line="360" w:lineRule="auto"/>
              <w:ind w:firstLine="480" w:firstLineChars="200"/>
              <w:jc w:val="left"/>
              <w:rPr>
                <w:color w:val="000000"/>
                <w:sz w:val="24"/>
              </w:rPr>
            </w:pPr>
            <w:r>
              <w:rPr>
                <w:rFonts w:hint="eastAsia"/>
                <w:color w:val="000000"/>
                <w:sz w:val="24"/>
              </w:rPr>
              <w:t>（3）水质：本项目污染物主要为COD、SS、氨氮和动植物油等，且废水中各类污染物浓度经预处理后能够达到市政污水管网接管标准，接管水质满足滁州市第二污水处理厂接管要求，不会对滁州市第二污水处理厂处理工艺造成影响，接管水质是可行的。</w:t>
            </w:r>
          </w:p>
          <w:p>
            <w:pPr>
              <w:spacing w:line="360" w:lineRule="auto"/>
              <w:ind w:firstLine="480" w:firstLineChars="200"/>
              <w:jc w:val="left"/>
              <w:rPr>
                <w:color w:val="000000"/>
                <w:sz w:val="24"/>
              </w:rPr>
            </w:pPr>
            <w:r>
              <w:rPr>
                <w:rFonts w:hint="eastAsia"/>
                <w:color w:val="000000"/>
                <w:sz w:val="24"/>
              </w:rPr>
              <w:t>（4）水量：本项目全厂排水为44.53m</w:t>
            </w:r>
            <w:r>
              <w:rPr>
                <w:rFonts w:hint="eastAsia"/>
                <w:color w:val="000000"/>
                <w:sz w:val="24"/>
                <w:vertAlign w:val="superscript"/>
              </w:rPr>
              <w:t>3</w:t>
            </w:r>
            <w:r>
              <w:rPr>
                <w:rFonts w:hint="eastAsia"/>
                <w:color w:val="000000"/>
                <w:sz w:val="24"/>
              </w:rPr>
              <w:t>/a，滁州市第二污水处理厂日处理能力为10万吨/日，目前日处理量约为8万吨/日，尚有2万吨/日的处理余量，本项目污水量较小，</w:t>
            </w:r>
            <w:r>
              <w:rPr>
                <w:color w:val="000000"/>
                <w:sz w:val="24"/>
              </w:rPr>
              <w:t>不会对其处理能力造成较大的冲击，因在其设计考虑处理范围内，接管水量是可行的。</w:t>
            </w:r>
          </w:p>
          <w:p>
            <w:pPr>
              <w:spacing w:line="360" w:lineRule="auto"/>
              <w:ind w:firstLine="480" w:firstLineChars="200"/>
              <w:jc w:val="left"/>
              <w:rPr>
                <w:color w:val="000000"/>
                <w:sz w:val="24"/>
              </w:rPr>
            </w:pPr>
            <w:r>
              <w:rPr>
                <w:color w:val="000000"/>
                <w:sz w:val="24"/>
              </w:rPr>
              <w:t>综上所述</w:t>
            </w:r>
            <w:r>
              <w:rPr>
                <w:rFonts w:hint="eastAsia"/>
                <w:color w:val="000000"/>
                <w:sz w:val="24"/>
              </w:rPr>
              <w:t>，</w:t>
            </w:r>
            <w:r>
              <w:rPr>
                <w:color w:val="000000"/>
                <w:sz w:val="24"/>
              </w:rPr>
              <w:t>本项目</w:t>
            </w:r>
            <w:r>
              <w:rPr>
                <w:color w:val="000000"/>
                <w:kern w:val="0"/>
                <w:sz w:val="24"/>
              </w:rPr>
              <w:t>废水</w:t>
            </w:r>
            <w:r>
              <w:rPr>
                <w:color w:val="000000"/>
                <w:sz w:val="24"/>
              </w:rPr>
              <w:t>经厂内预处理</w:t>
            </w:r>
            <w:r>
              <w:rPr>
                <w:rFonts w:hint="eastAsia"/>
                <w:color w:val="000000"/>
                <w:sz w:val="24"/>
              </w:rPr>
              <w:t>后满足</w:t>
            </w:r>
            <w:r>
              <w:rPr>
                <w:sz w:val="24"/>
              </w:rPr>
              <w:t>《污水综合排放标准》（GB8978-1996）中表4中三级标准要求，其中氨氮</w:t>
            </w:r>
            <w:r>
              <w:rPr>
                <w:rFonts w:hint="eastAsia"/>
                <w:sz w:val="24"/>
              </w:rPr>
              <w:t>满足</w:t>
            </w:r>
            <w:r>
              <w:rPr>
                <w:sz w:val="24"/>
              </w:rPr>
              <w:t>《污水排入城镇下水道水质标准中（GBT31962-2015）表1中B等级标准</w:t>
            </w:r>
            <w:r>
              <w:rPr>
                <w:rFonts w:hint="eastAsia"/>
                <w:color w:val="000000"/>
                <w:sz w:val="24"/>
              </w:rPr>
              <w:t>后接入滁州市第二污水处理厂收水</w:t>
            </w:r>
            <w:r>
              <w:rPr>
                <w:color w:val="000000"/>
                <w:sz w:val="24"/>
              </w:rPr>
              <w:t>污水管网，</w:t>
            </w:r>
            <w:r>
              <w:rPr>
                <w:rFonts w:hint="eastAsia"/>
                <w:color w:val="000000"/>
                <w:sz w:val="24"/>
              </w:rPr>
              <w:t>至</w:t>
            </w:r>
            <w:r>
              <w:rPr>
                <w:color w:val="000000"/>
                <w:sz w:val="24"/>
              </w:rPr>
              <w:t>滁州市第二污水处理厂深度处理，尾水达到执行《城镇污水处理厂污染物排放标准》（GB18918-2002）一级</w:t>
            </w:r>
            <w:r>
              <w:rPr>
                <w:rFonts w:hint="eastAsia"/>
                <w:color w:val="000000"/>
                <w:sz w:val="24"/>
              </w:rPr>
              <w:t>A</w:t>
            </w:r>
            <w:r>
              <w:rPr>
                <w:color w:val="000000"/>
                <w:sz w:val="24"/>
              </w:rPr>
              <w:t>标准后排入清流河。</w:t>
            </w:r>
          </w:p>
          <w:p>
            <w:pPr>
              <w:spacing w:line="360" w:lineRule="auto"/>
              <w:ind w:firstLine="480" w:firstLineChars="200"/>
              <w:jc w:val="left"/>
              <w:rPr>
                <w:color w:val="000000"/>
                <w:sz w:val="24"/>
              </w:rPr>
            </w:pPr>
            <w:r>
              <w:rPr>
                <w:color w:val="000000"/>
                <w:sz w:val="24"/>
              </w:rPr>
              <w:t>综上，从环境角度及技术可行性等方面分析，本项目废水处理是可行的。</w:t>
            </w:r>
          </w:p>
          <w:p>
            <w:pPr>
              <w:spacing w:line="360" w:lineRule="auto"/>
              <w:ind w:firstLine="472" w:firstLineChars="196"/>
              <w:jc w:val="left"/>
            </w:pPr>
            <w:r>
              <w:rPr>
                <w:rFonts w:hint="eastAsia"/>
                <w:b/>
                <w:bCs/>
                <w:sz w:val="24"/>
              </w:rPr>
              <w:t>7、</w:t>
            </w:r>
            <w:r>
              <w:rPr>
                <w:b/>
                <w:bCs/>
                <w:sz w:val="24"/>
              </w:rPr>
              <w:t>水环境影响评价结论：</w:t>
            </w:r>
          </w:p>
          <w:p>
            <w:pPr>
              <w:spacing w:line="360" w:lineRule="auto"/>
              <w:ind w:firstLine="600" w:firstLineChars="250"/>
              <w:rPr>
                <w:sz w:val="24"/>
              </w:rPr>
            </w:pPr>
            <w:r>
              <w:rPr>
                <w:sz w:val="24"/>
              </w:rPr>
              <w:t>根据《环境影响评价技术导则-地表水环境》（HJ2.3-2018）本项目为水污染影响三级B等级，接管滁州市第二污水处理厂，对滁州市第二污水处理厂接管可行性进行分析可知，本项目水量、水质等均符合滁州市第二污水处理厂接管要求，因此，本项目污水不直接对外排放，不会对当地地表水环境产生不利影响地表水影响可接受。</w:t>
            </w:r>
          </w:p>
          <w:p>
            <w:pPr>
              <w:spacing w:line="360" w:lineRule="auto"/>
              <w:ind w:firstLine="480" w:firstLineChars="200"/>
              <w:jc w:val="left"/>
              <w:rPr>
                <w:b/>
                <w:bCs/>
                <w:sz w:val="24"/>
              </w:rPr>
            </w:pPr>
            <w:r>
              <w:rPr>
                <w:sz w:val="24"/>
              </w:rPr>
              <w:t>本项目地表水环境影响评价自查表详见附件</w:t>
            </w:r>
            <w:r>
              <w:rPr>
                <w:rFonts w:hint="eastAsia"/>
                <w:sz w:val="24"/>
              </w:rPr>
              <w:t>。</w:t>
            </w:r>
          </w:p>
          <w:p>
            <w:pPr>
              <w:pStyle w:val="46"/>
              <w:snapToGrid w:val="0"/>
              <w:spacing w:line="360" w:lineRule="auto"/>
              <w:ind w:firstLine="482" w:firstLineChars="200"/>
              <w:rPr>
                <w:b/>
                <w:bCs/>
                <w:sz w:val="24"/>
                <w:lang w:eastAsia="zh-CN"/>
              </w:rPr>
            </w:pPr>
            <w:r>
              <w:rPr>
                <w:rFonts w:hint="eastAsia"/>
                <w:b/>
                <w:bCs/>
                <w:sz w:val="24"/>
                <w:lang w:eastAsia="zh-CN"/>
              </w:rPr>
              <w:t>三、噪声</w:t>
            </w:r>
          </w:p>
          <w:p>
            <w:pPr>
              <w:spacing w:line="360" w:lineRule="auto"/>
              <w:ind w:firstLine="482" w:firstLineChars="200"/>
              <w:rPr>
                <w:b/>
                <w:bCs/>
                <w:sz w:val="24"/>
              </w:rPr>
            </w:pPr>
            <w:r>
              <w:rPr>
                <w:rFonts w:hint="eastAsia"/>
                <w:b/>
                <w:bCs/>
                <w:sz w:val="24"/>
              </w:rPr>
              <w:t>1、噪声源强核算</w:t>
            </w:r>
          </w:p>
          <w:p>
            <w:pPr>
              <w:spacing w:line="360" w:lineRule="auto"/>
              <w:ind w:firstLine="480" w:firstLineChars="200"/>
              <w:rPr>
                <w:sz w:val="24"/>
              </w:rPr>
            </w:pPr>
            <w:r>
              <w:rPr>
                <w:sz w:val="24"/>
              </w:rPr>
              <w:t>本项新增噪声污染源主要为各种加工设备噪声，噪声源强约为7</w:t>
            </w:r>
            <w:r>
              <w:rPr>
                <w:rFonts w:hint="eastAsia"/>
                <w:sz w:val="24"/>
              </w:rPr>
              <w:t>0</w:t>
            </w:r>
            <w:r>
              <w:rPr>
                <w:sz w:val="24"/>
              </w:rPr>
              <w:t>~</w:t>
            </w:r>
            <w:r>
              <w:rPr>
                <w:rFonts w:hint="eastAsia"/>
                <w:sz w:val="24"/>
              </w:rPr>
              <w:t>90</w:t>
            </w:r>
            <w:r>
              <w:rPr>
                <w:sz w:val="24"/>
              </w:rPr>
              <w:t>dB（A），通过合理布局，并采取消声、隔声、减振等降噪措施，以减轻对周围环境的影响。类比同行业设备，各声源等效声级见</w:t>
            </w:r>
            <w:r>
              <w:rPr>
                <w:rFonts w:hint="eastAsia"/>
                <w:sz w:val="24"/>
              </w:rPr>
              <w:t>下表</w:t>
            </w:r>
            <w:r>
              <w:rPr>
                <w:sz w:val="24"/>
              </w:rPr>
              <w:t>。</w:t>
            </w:r>
          </w:p>
          <w:p>
            <w:pPr>
              <w:spacing w:line="360" w:lineRule="auto"/>
              <w:jc w:val="center"/>
            </w:pPr>
            <w:r>
              <w:rPr>
                <w:sz w:val="24"/>
              </w:rPr>
              <w:t xml:space="preserve">        </w:t>
            </w:r>
            <w:r>
              <w:rPr>
                <w:b/>
                <w:bCs/>
                <w:sz w:val="24"/>
              </w:rPr>
              <w:t xml:space="preserve"> 表</w:t>
            </w:r>
            <w:r>
              <w:rPr>
                <w:rFonts w:hint="eastAsia"/>
                <w:b/>
                <w:bCs/>
                <w:sz w:val="24"/>
              </w:rPr>
              <w:t>4-12</w:t>
            </w:r>
            <w:r>
              <w:rPr>
                <w:b/>
                <w:bCs/>
                <w:sz w:val="24"/>
              </w:rPr>
              <w:t xml:space="preserve">  本项目主要高噪声设备一览表 </w:t>
            </w:r>
            <w:r>
              <w:rPr>
                <w:sz w:val="24"/>
              </w:rPr>
              <w:t xml:space="preserve">  </w:t>
            </w:r>
            <w:r>
              <w:t xml:space="preserve">    单位：dB(A)</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796"/>
              <w:gridCol w:w="802"/>
              <w:gridCol w:w="668"/>
              <w:gridCol w:w="1468"/>
              <w:gridCol w:w="668"/>
              <w:gridCol w:w="709"/>
              <w:gridCol w:w="82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b/>
                      <w:bCs w:val="0"/>
                      <w:color w:val="auto"/>
                    </w:rPr>
                  </w:pPr>
                  <w:r>
                    <w:rPr>
                      <w:b/>
                      <w:bCs w:val="0"/>
                      <w:color w:val="auto"/>
                    </w:rPr>
                    <w:t>序号</w:t>
                  </w:r>
                </w:p>
              </w:tc>
              <w:tc>
                <w:tcPr>
                  <w:tcW w:w="1091" w:type="pct"/>
                  <w:vAlign w:val="center"/>
                </w:tcPr>
                <w:p>
                  <w:pPr>
                    <w:pStyle w:val="68"/>
                    <w:rPr>
                      <w:b/>
                      <w:bCs w:val="0"/>
                      <w:color w:val="auto"/>
                    </w:rPr>
                  </w:pPr>
                  <w:r>
                    <w:rPr>
                      <w:b/>
                      <w:bCs w:val="0"/>
                      <w:color w:val="auto"/>
                    </w:rPr>
                    <w:t>设备名称</w:t>
                  </w:r>
                </w:p>
              </w:tc>
              <w:tc>
                <w:tcPr>
                  <w:tcW w:w="487" w:type="pct"/>
                  <w:vAlign w:val="center"/>
                </w:tcPr>
                <w:p>
                  <w:pPr>
                    <w:pStyle w:val="68"/>
                    <w:rPr>
                      <w:b/>
                      <w:bCs w:val="0"/>
                      <w:color w:val="auto"/>
                    </w:rPr>
                  </w:pPr>
                  <w:r>
                    <w:rPr>
                      <w:b/>
                      <w:bCs w:val="0"/>
                      <w:color w:val="auto"/>
                    </w:rPr>
                    <w:t>数量（台）</w:t>
                  </w:r>
                </w:p>
              </w:tc>
              <w:tc>
                <w:tcPr>
                  <w:tcW w:w="406" w:type="pct"/>
                  <w:vAlign w:val="center"/>
                </w:tcPr>
                <w:p>
                  <w:pPr>
                    <w:pStyle w:val="68"/>
                    <w:rPr>
                      <w:b/>
                      <w:bCs w:val="0"/>
                      <w:color w:val="auto"/>
                    </w:rPr>
                  </w:pPr>
                  <w:r>
                    <w:rPr>
                      <w:b/>
                      <w:bCs w:val="0"/>
                      <w:color w:val="auto"/>
                    </w:rPr>
                    <w:t>单台噪声</w:t>
                  </w:r>
                </w:p>
              </w:tc>
              <w:tc>
                <w:tcPr>
                  <w:tcW w:w="892" w:type="pct"/>
                  <w:vAlign w:val="center"/>
                </w:tcPr>
                <w:p>
                  <w:pPr>
                    <w:pStyle w:val="68"/>
                    <w:rPr>
                      <w:b/>
                      <w:bCs w:val="0"/>
                      <w:color w:val="auto"/>
                    </w:rPr>
                  </w:pPr>
                  <w:r>
                    <w:rPr>
                      <w:b/>
                      <w:bCs w:val="0"/>
                      <w:color w:val="auto"/>
                    </w:rPr>
                    <w:t>所在区域</w:t>
                  </w:r>
                </w:p>
              </w:tc>
              <w:tc>
                <w:tcPr>
                  <w:tcW w:w="406" w:type="pct"/>
                  <w:vAlign w:val="center"/>
                </w:tcPr>
                <w:p>
                  <w:pPr>
                    <w:pStyle w:val="68"/>
                    <w:rPr>
                      <w:b/>
                      <w:bCs w:val="0"/>
                      <w:color w:val="auto"/>
                    </w:rPr>
                  </w:pPr>
                  <w:r>
                    <w:rPr>
                      <w:b/>
                      <w:bCs w:val="0"/>
                      <w:color w:val="auto"/>
                    </w:rPr>
                    <w:t>治理措施</w:t>
                  </w:r>
                </w:p>
              </w:tc>
              <w:tc>
                <w:tcPr>
                  <w:tcW w:w="431" w:type="pct"/>
                  <w:vAlign w:val="center"/>
                </w:tcPr>
                <w:p>
                  <w:pPr>
                    <w:pStyle w:val="68"/>
                    <w:rPr>
                      <w:b/>
                      <w:bCs w:val="0"/>
                      <w:color w:val="auto"/>
                    </w:rPr>
                  </w:pPr>
                  <w:r>
                    <w:rPr>
                      <w:b/>
                      <w:bCs w:val="0"/>
                      <w:color w:val="auto"/>
                    </w:rPr>
                    <w:t>降噪效果</w:t>
                  </w:r>
                </w:p>
              </w:tc>
              <w:tc>
                <w:tcPr>
                  <w:tcW w:w="502" w:type="pct"/>
                  <w:vAlign w:val="center"/>
                </w:tcPr>
                <w:p>
                  <w:pPr>
                    <w:pStyle w:val="68"/>
                    <w:rPr>
                      <w:b/>
                      <w:bCs w:val="0"/>
                      <w:color w:val="auto"/>
                    </w:rPr>
                  </w:pPr>
                  <w:r>
                    <w:rPr>
                      <w:b/>
                      <w:bCs w:val="0"/>
                      <w:color w:val="auto"/>
                    </w:rPr>
                    <w:t>噪声排放值</w:t>
                  </w:r>
                </w:p>
              </w:tc>
              <w:tc>
                <w:tcPr>
                  <w:tcW w:w="501" w:type="pct"/>
                  <w:vAlign w:val="center"/>
                </w:tcPr>
                <w:p>
                  <w:pPr>
                    <w:pStyle w:val="68"/>
                    <w:rPr>
                      <w:b/>
                      <w:bCs w:val="0"/>
                      <w:color w:val="auto"/>
                    </w:rPr>
                  </w:pPr>
                  <w:r>
                    <w:rPr>
                      <w:b/>
                      <w:bCs w:val="0"/>
                      <w:color w:val="auto"/>
                    </w:rPr>
                    <w:t>持续时间h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80" w:type="pct"/>
                  <w:vAlign w:val="center"/>
                </w:tcPr>
                <w:p>
                  <w:pPr>
                    <w:pStyle w:val="68"/>
                    <w:rPr>
                      <w:color w:val="auto"/>
                    </w:rPr>
                  </w:pPr>
                  <w:r>
                    <w:rPr>
                      <w:color w:val="auto"/>
                    </w:rPr>
                    <w:t>1</w:t>
                  </w:r>
                </w:p>
              </w:tc>
              <w:tc>
                <w:tcPr>
                  <w:tcW w:w="1091" w:type="pct"/>
                  <w:vAlign w:val="center"/>
                </w:tcPr>
                <w:p>
                  <w:pPr>
                    <w:jc w:val="center"/>
                    <w:rPr>
                      <w:szCs w:val="21"/>
                    </w:rPr>
                  </w:pPr>
                  <w:r>
                    <w:rPr>
                      <w:rFonts w:hint="eastAsia"/>
                      <w:szCs w:val="21"/>
                    </w:rPr>
                    <w:t>片材机</w:t>
                  </w:r>
                </w:p>
              </w:tc>
              <w:tc>
                <w:tcPr>
                  <w:tcW w:w="487" w:type="pct"/>
                  <w:vAlign w:val="center"/>
                </w:tcPr>
                <w:p>
                  <w:pPr>
                    <w:jc w:val="center"/>
                    <w:rPr>
                      <w:szCs w:val="21"/>
                    </w:rPr>
                  </w:pPr>
                  <w:r>
                    <w:rPr>
                      <w:rFonts w:hint="eastAsia"/>
                      <w:szCs w:val="21"/>
                    </w:rPr>
                    <w:t>3</w:t>
                  </w:r>
                </w:p>
              </w:tc>
              <w:tc>
                <w:tcPr>
                  <w:tcW w:w="406" w:type="pct"/>
                  <w:vAlign w:val="center"/>
                </w:tcPr>
                <w:p>
                  <w:pPr>
                    <w:pStyle w:val="68"/>
                    <w:rPr>
                      <w:color w:val="auto"/>
                    </w:rPr>
                  </w:pPr>
                  <w:r>
                    <w:rPr>
                      <w:rFonts w:hint="eastAsia"/>
                      <w:color w:val="auto"/>
                    </w:rPr>
                    <w:t>75</w:t>
                  </w:r>
                </w:p>
              </w:tc>
              <w:tc>
                <w:tcPr>
                  <w:tcW w:w="892" w:type="pct"/>
                  <w:vAlign w:val="center"/>
                </w:tcPr>
                <w:p>
                  <w:pPr>
                    <w:pStyle w:val="68"/>
                    <w:rPr>
                      <w:color w:val="auto"/>
                    </w:rPr>
                  </w:pPr>
                  <w:r>
                    <w:rPr>
                      <w:color w:val="auto"/>
                    </w:rPr>
                    <w:t>安装在室内</w:t>
                  </w:r>
                </w:p>
              </w:tc>
              <w:tc>
                <w:tcPr>
                  <w:tcW w:w="406" w:type="pct"/>
                  <w:vMerge w:val="restart"/>
                  <w:vAlign w:val="center"/>
                </w:tcPr>
                <w:p>
                  <w:pPr>
                    <w:pStyle w:val="68"/>
                    <w:rPr>
                      <w:snapToGrid w:val="0"/>
                      <w:color w:val="auto"/>
                    </w:rPr>
                  </w:pPr>
                  <w:r>
                    <w:rPr>
                      <w:snapToGrid w:val="0"/>
                      <w:color w:val="auto"/>
                    </w:rPr>
                    <w:t>低噪声设备、车间内布置、基础减震</w:t>
                  </w: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55</w:t>
                  </w:r>
                </w:p>
              </w:tc>
              <w:tc>
                <w:tcPr>
                  <w:tcW w:w="501" w:type="pct"/>
                  <w:vAlign w:val="center"/>
                </w:tcPr>
                <w:p>
                  <w:pPr>
                    <w:pStyle w:val="68"/>
                    <w:rPr>
                      <w:color w:val="auto"/>
                    </w:rPr>
                  </w:pPr>
                  <w:r>
                    <w:rPr>
                      <w:rFonts w:hint="eastAsia"/>
                      <w:color w:val="auto"/>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80" w:type="pct"/>
                  <w:vAlign w:val="center"/>
                </w:tcPr>
                <w:p>
                  <w:pPr>
                    <w:pStyle w:val="68"/>
                    <w:rPr>
                      <w:color w:val="auto"/>
                    </w:rPr>
                  </w:pPr>
                  <w:r>
                    <w:rPr>
                      <w:color w:val="auto"/>
                    </w:rPr>
                    <w:t>2</w:t>
                  </w:r>
                </w:p>
              </w:tc>
              <w:tc>
                <w:tcPr>
                  <w:tcW w:w="1091" w:type="pct"/>
                  <w:vAlign w:val="center"/>
                </w:tcPr>
                <w:p>
                  <w:pPr>
                    <w:jc w:val="center"/>
                    <w:rPr>
                      <w:szCs w:val="21"/>
                    </w:rPr>
                  </w:pPr>
                  <w:r>
                    <w:rPr>
                      <w:rFonts w:hint="eastAsia"/>
                      <w:szCs w:val="21"/>
                    </w:rPr>
                    <w:t>吸塑、裁断一体机</w:t>
                  </w:r>
                </w:p>
              </w:tc>
              <w:tc>
                <w:tcPr>
                  <w:tcW w:w="487" w:type="pct"/>
                  <w:vAlign w:val="center"/>
                </w:tcPr>
                <w:p>
                  <w:pPr>
                    <w:jc w:val="center"/>
                    <w:rPr>
                      <w:szCs w:val="21"/>
                    </w:rPr>
                  </w:pPr>
                  <w:r>
                    <w:rPr>
                      <w:rFonts w:hint="eastAsia"/>
                      <w:szCs w:val="21"/>
                    </w:rPr>
                    <w:t>4</w:t>
                  </w:r>
                </w:p>
              </w:tc>
              <w:tc>
                <w:tcPr>
                  <w:tcW w:w="406" w:type="pct"/>
                  <w:vAlign w:val="center"/>
                </w:tcPr>
                <w:p>
                  <w:pPr>
                    <w:pStyle w:val="68"/>
                    <w:rPr>
                      <w:color w:val="auto"/>
                    </w:rPr>
                  </w:pPr>
                  <w:r>
                    <w:rPr>
                      <w:rFonts w:hint="eastAsia"/>
                      <w:color w:val="auto"/>
                    </w:rPr>
                    <w:t>75</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55</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color w:val="auto"/>
                    </w:rPr>
                    <w:t>3</w:t>
                  </w:r>
                </w:p>
              </w:tc>
              <w:tc>
                <w:tcPr>
                  <w:tcW w:w="1091" w:type="pct"/>
                  <w:vAlign w:val="center"/>
                </w:tcPr>
                <w:p>
                  <w:pPr>
                    <w:jc w:val="center"/>
                    <w:rPr>
                      <w:szCs w:val="21"/>
                    </w:rPr>
                  </w:pPr>
                  <w:r>
                    <w:rPr>
                      <w:rFonts w:hint="eastAsia"/>
                      <w:szCs w:val="21"/>
                    </w:rPr>
                    <w:t>吸塑机</w:t>
                  </w:r>
                </w:p>
              </w:tc>
              <w:tc>
                <w:tcPr>
                  <w:tcW w:w="487" w:type="pct"/>
                  <w:vAlign w:val="center"/>
                </w:tcPr>
                <w:p>
                  <w:pPr>
                    <w:jc w:val="center"/>
                    <w:rPr>
                      <w:szCs w:val="21"/>
                    </w:rPr>
                  </w:pPr>
                  <w:r>
                    <w:rPr>
                      <w:rFonts w:hint="eastAsia"/>
                      <w:szCs w:val="21"/>
                    </w:rPr>
                    <w:t>5</w:t>
                  </w:r>
                </w:p>
              </w:tc>
              <w:tc>
                <w:tcPr>
                  <w:tcW w:w="406" w:type="pct"/>
                  <w:vAlign w:val="center"/>
                </w:tcPr>
                <w:p>
                  <w:pPr>
                    <w:pStyle w:val="68"/>
                    <w:rPr>
                      <w:color w:val="auto"/>
                    </w:rPr>
                  </w:pPr>
                  <w:r>
                    <w:rPr>
                      <w:rFonts w:hint="eastAsia"/>
                      <w:color w:val="auto"/>
                    </w:rPr>
                    <w:t>70</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50</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color w:val="auto"/>
                    </w:rPr>
                    <w:t>4</w:t>
                  </w:r>
                </w:p>
              </w:tc>
              <w:tc>
                <w:tcPr>
                  <w:tcW w:w="1091" w:type="pct"/>
                  <w:vAlign w:val="center"/>
                </w:tcPr>
                <w:p>
                  <w:pPr>
                    <w:jc w:val="center"/>
                    <w:rPr>
                      <w:szCs w:val="21"/>
                    </w:rPr>
                  </w:pPr>
                  <w:r>
                    <w:rPr>
                      <w:rFonts w:hint="eastAsia"/>
                      <w:szCs w:val="21"/>
                    </w:rPr>
                    <w:t>裁断机</w:t>
                  </w:r>
                </w:p>
              </w:tc>
              <w:tc>
                <w:tcPr>
                  <w:tcW w:w="487" w:type="pct"/>
                  <w:vAlign w:val="center"/>
                </w:tcPr>
                <w:p>
                  <w:pPr>
                    <w:jc w:val="center"/>
                    <w:rPr>
                      <w:szCs w:val="21"/>
                    </w:rPr>
                  </w:pPr>
                  <w:r>
                    <w:rPr>
                      <w:rFonts w:hint="eastAsia"/>
                      <w:szCs w:val="21"/>
                    </w:rPr>
                    <w:t>8</w:t>
                  </w:r>
                </w:p>
              </w:tc>
              <w:tc>
                <w:tcPr>
                  <w:tcW w:w="406" w:type="pct"/>
                  <w:vAlign w:val="center"/>
                </w:tcPr>
                <w:p>
                  <w:pPr>
                    <w:pStyle w:val="68"/>
                    <w:rPr>
                      <w:color w:val="auto"/>
                    </w:rPr>
                  </w:pPr>
                  <w:r>
                    <w:rPr>
                      <w:rFonts w:hint="eastAsia"/>
                      <w:color w:val="auto"/>
                    </w:rPr>
                    <w:t>75</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55</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5</w:t>
                  </w:r>
                </w:p>
              </w:tc>
              <w:tc>
                <w:tcPr>
                  <w:tcW w:w="1091" w:type="pct"/>
                  <w:vAlign w:val="center"/>
                </w:tcPr>
                <w:p>
                  <w:pPr>
                    <w:jc w:val="center"/>
                    <w:rPr>
                      <w:szCs w:val="21"/>
                    </w:rPr>
                  </w:pPr>
                  <w:r>
                    <w:rPr>
                      <w:rFonts w:hint="eastAsia"/>
                      <w:szCs w:val="21"/>
                    </w:rPr>
                    <w:t>注塑机</w:t>
                  </w:r>
                </w:p>
              </w:tc>
              <w:tc>
                <w:tcPr>
                  <w:tcW w:w="487" w:type="pct"/>
                  <w:vAlign w:val="center"/>
                </w:tcPr>
                <w:p>
                  <w:pPr>
                    <w:jc w:val="center"/>
                    <w:rPr>
                      <w:szCs w:val="21"/>
                    </w:rPr>
                  </w:pPr>
                  <w:r>
                    <w:rPr>
                      <w:rFonts w:hint="eastAsia"/>
                      <w:szCs w:val="21"/>
                    </w:rPr>
                    <w:t>6</w:t>
                  </w:r>
                </w:p>
              </w:tc>
              <w:tc>
                <w:tcPr>
                  <w:tcW w:w="406" w:type="pct"/>
                  <w:vAlign w:val="center"/>
                </w:tcPr>
                <w:p>
                  <w:pPr>
                    <w:pStyle w:val="68"/>
                    <w:rPr>
                      <w:color w:val="auto"/>
                    </w:rPr>
                  </w:pPr>
                  <w:r>
                    <w:rPr>
                      <w:rFonts w:hint="eastAsia"/>
                      <w:color w:val="auto"/>
                    </w:rPr>
                    <w:t>75</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55</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6</w:t>
                  </w:r>
                </w:p>
              </w:tc>
              <w:tc>
                <w:tcPr>
                  <w:tcW w:w="1091" w:type="pct"/>
                  <w:vAlign w:val="center"/>
                </w:tcPr>
                <w:p>
                  <w:pPr>
                    <w:jc w:val="center"/>
                    <w:rPr>
                      <w:szCs w:val="21"/>
                    </w:rPr>
                  </w:pPr>
                  <w:r>
                    <w:rPr>
                      <w:rFonts w:hint="eastAsia"/>
                      <w:szCs w:val="21"/>
                    </w:rPr>
                    <w:t>粉碎机</w:t>
                  </w:r>
                </w:p>
              </w:tc>
              <w:tc>
                <w:tcPr>
                  <w:tcW w:w="487" w:type="pct"/>
                  <w:vAlign w:val="center"/>
                </w:tcPr>
                <w:p>
                  <w:pPr>
                    <w:jc w:val="center"/>
                    <w:rPr>
                      <w:szCs w:val="21"/>
                    </w:rPr>
                  </w:pPr>
                  <w:r>
                    <w:rPr>
                      <w:rFonts w:hint="eastAsia"/>
                      <w:szCs w:val="21"/>
                    </w:rPr>
                    <w:t>5</w:t>
                  </w:r>
                </w:p>
              </w:tc>
              <w:tc>
                <w:tcPr>
                  <w:tcW w:w="406" w:type="pct"/>
                  <w:vAlign w:val="center"/>
                </w:tcPr>
                <w:p>
                  <w:pPr>
                    <w:pStyle w:val="68"/>
                    <w:rPr>
                      <w:color w:val="auto"/>
                    </w:rPr>
                  </w:pPr>
                  <w:r>
                    <w:rPr>
                      <w:rFonts w:hint="eastAsia"/>
                      <w:color w:val="auto"/>
                    </w:rPr>
                    <w:t>85</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65</w:t>
                  </w:r>
                </w:p>
              </w:tc>
              <w:tc>
                <w:tcPr>
                  <w:tcW w:w="501" w:type="pct"/>
                  <w:vAlign w:val="center"/>
                </w:tcPr>
                <w:p>
                  <w:pPr>
                    <w:jc w:val="center"/>
                    <w:rPr>
                      <w:szCs w:val="21"/>
                    </w:rPr>
                  </w:pPr>
                  <w:r>
                    <w:rPr>
                      <w:rFonts w:hint="eastAsia"/>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7</w:t>
                  </w:r>
                </w:p>
              </w:tc>
              <w:tc>
                <w:tcPr>
                  <w:tcW w:w="1091" w:type="pct"/>
                  <w:vAlign w:val="center"/>
                </w:tcPr>
                <w:p>
                  <w:pPr>
                    <w:jc w:val="center"/>
                    <w:rPr>
                      <w:szCs w:val="21"/>
                    </w:rPr>
                  </w:pPr>
                  <w:r>
                    <w:rPr>
                      <w:rFonts w:hint="eastAsia"/>
                      <w:szCs w:val="21"/>
                    </w:rPr>
                    <w:t>空压机</w:t>
                  </w:r>
                </w:p>
              </w:tc>
              <w:tc>
                <w:tcPr>
                  <w:tcW w:w="487" w:type="pct"/>
                  <w:vAlign w:val="center"/>
                </w:tcPr>
                <w:p>
                  <w:pPr>
                    <w:jc w:val="center"/>
                    <w:rPr>
                      <w:szCs w:val="21"/>
                    </w:rPr>
                  </w:pPr>
                  <w:r>
                    <w:rPr>
                      <w:rFonts w:hint="eastAsia"/>
                      <w:szCs w:val="21"/>
                    </w:rPr>
                    <w:t>1</w:t>
                  </w:r>
                </w:p>
              </w:tc>
              <w:tc>
                <w:tcPr>
                  <w:tcW w:w="406" w:type="pct"/>
                  <w:vAlign w:val="center"/>
                </w:tcPr>
                <w:p>
                  <w:pPr>
                    <w:pStyle w:val="68"/>
                    <w:rPr>
                      <w:color w:val="auto"/>
                    </w:rPr>
                  </w:pPr>
                  <w:r>
                    <w:rPr>
                      <w:rFonts w:hint="eastAsia"/>
                      <w:color w:val="auto"/>
                    </w:rPr>
                    <w:t>85</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65</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8</w:t>
                  </w:r>
                </w:p>
              </w:tc>
              <w:tc>
                <w:tcPr>
                  <w:tcW w:w="1091" w:type="pct"/>
                  <w:vAlign w:val="center"/>
                </w:tcPr>
                <w:p>
                  <w:pPr>
                    <w:jc w:val="center"/>
                    <w:rPr>
                      <w:szCs w:val="21"/>
                    </w:rPr>
                  </w:pPr>
                  <w:r>
                    <w:rPr>
                      <w:rFonts w:hint="eastAsia"/>
                      <w:szCs w:val="21"/>
                    </w:rPr>
                    <w:t>吹塑机</w:t>
                  </w:r>
                </w:p>
              </w:tc>
              <w:tc>
                <w:tcPr>
                  <w:tcW w:w="487" w:type="pct"/>
                  <w:vAlign w:val="center"/>
                </w:tcPr>
                <w:p>
                  <w:pPr>
                    <w:jc w:val="center"/>
                    <w:rPr>
                      <w:szCs w:val="21"/>
                    </w:rPr>
                  </w:pPr>
                  <w:r>
                    <w:rPr>
                      <w:rFonts w:hint="eastAsia"/>
                      <w:szCs w:val="21"/>
                    </w:rPr>
                    <w:t>2</w:t>
                  </w:r>
                </w:p>
              </w:tc>
              <w:tc>
                <w:tcPr>
                  <w:tcW w:w="406" w:type="pct"/>
                  <w:vAlign w:val="center"/>
                </w:tcPr>
                <w:p>
                  <w:pPr>
                    <w:pStyle w:val="68"/>
                    <w:rPr>
                      <w:color w:val="auto"/>
                    </w:rPr>
                  </w:pPr>
                  <w:r>
                    <w:rPr>
                      <w:rFonts w:hint="eastAsia"/>
                      <w:color w:val="auto"/>
                    </w:rPr>
                    <w:t>80</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60</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9</w:t>
                  </w:r>
                </w:p>
              </w:tc>
              <w:tc>
                <w:tcPr>
                  <w:tcW w:w="1091" w:type="pct"/>
                  <w:vAlign w:val="center"/>
                </w:tcPr>
                <w:p>
                  <w:pPr>
                    <w:jc w:val="center"/>
                    <w:rPr>
                      <w:szCs w:val="21"/>
                    </w:rPr>
                  </w:pPr>
                  <w:r>
                    <w:rPr>
                      <w:rFonts w:hint="eastAsia"/>
                      <w:szCs w:val="21"/>
                    </w:rPr>
                    <w:t>炒锅</w:t>
                  </w:r>
                </w:p>
              </w:tc>
              <w:tc>
                <w:tcPr>
                  <w:tcW w:w="487" w:type="pct"/>
                  <w:vAlign w:val="center"/>
                </w:tcPr>
                <w:p>
                  <w:pPr>
                    <w:jc w:val="center"/>
                    <w:rPr>
                      <w:szCs w:val="21"/>
                    </w:rPr>
                  </w:pPr>
                  <w:r>
                    <w:rPr>
                      <w:rFonts w:hint="eastAsia"/>
                      <w:szCs w:val="21"/>
                    </w:rPr>
                    <w:t>6</w:t>
                  </w:r>
                </w:p>
              </w:tc>
              <w:tc>
                <w:tcPr>
                  <w:tcW w:w="406" w:type="pct"/>
                  <w:vAlign w:val="center"/>
                </w:tcPr>
                <w:p>
                  <w:pPr>
                    <w:pStyle w:val="68"/>
                    <w:rPr>
                      <w:color w:val="auto"/>
                    </w:rPr>
                  </w:pPr>
                  <w:r>
                    <w:rPr>
                      <w:rFonts w:hint="eastAsia"/>
                      <w:color w:val="auto"/>
                    </w:rPr>
                    <w:t>75</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55</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10</w:t>
                  </w:r>
                </w:p>
              </w:tc>
              <w:tc>
                <w:tcPr>
                  <w:tcW w:w="1091" w:type="pct"/>
                  <w:vAlign w:val="center"/>
                </w:tcPr>
                <w:p>
                  <w:pPr>
                    <w:jc w:val="center"/>
                    <w:rPr>
                      <w:szCs w:val="21"/>
                    </w:rPr>
                  </w:pPr>
                  <w:r>
                    <w:rPr>
                      <w:rFonts w:hint="eastAsia"/>
                      <w:szCs w:val="21"/>
                    </w:rPr>
                    <w:t>十二切内包装线</w:t>
                  </w:r>
                </w:p>
              </w:tc>
              <w:tc>
                <w:tcPr>
                  <w:tcW w:w="487" w:type="pct"/>
                  <w:vAlign w:val="center"/>
                </w:tcPr>
                <w:p>
                  <w:pPr>
                    <w:jc w:val="center"/>
                    <w:rPr>
                      <w:szCs w:val="21"/>
                    </w:rPr>
                  </w:pPr>
                  <w:r>
                    <w:rPr>
                      <w:rFonts w:hint="eastAsia"/>
                      <w:szCs w:val="21"/>
                    </w:rPr>
                    <w:t>17</w:t>
                  </w:r>
                </w:p>
              </w:tc>
              <w:tc>
                <w:tcPr>
                  <w:tcW w:w="406" w:type="pct"/>
                  <w:vAlign w:val="center"/>
                </w:tcPr>
                <w:p>
                  <w:pPr>
                    <w:pStyle w:val="68"/>
                    <w:rPr>
                      <w:color w:val="auto"/>
                    </w:rPr>
                  </w:pPr>
                  <w:r>
                    <w:rPr>
                      <w:rFonts w:hint="eastAsia"/>
                      <w:color w:val="auto"/>
                    </w:rPr>
                    <w:t>75</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55</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11</w:t>
                  </w:r>
                </w:p>
              </w:tc>
              <w:tc>
                <w:tcPr>
                  <w:tcW w:w="1091" w:type="pct"/>
                  <w:vAlign w:val="center"/>
                </w:tcPr>
                <w:p>
                  <w:pPr>
                    <w:jc w:val="center"/>
                    <w:rPr>
                      <w:szCs w:val="21"/>
                    </w:rPr>
                  </w:pPr>
                  <w:r>
                    <w:rPr>
                      <w:rFonts w:hint="eastAsia"/>
                      <w:szCs w:val="21"/>
                    </w:rPr>
                    <w:t>八切机</w:t>
                  </w:r>
                </w:p>
              </w:tc>
              <w:tc>
                <w:tcPr>
                  <w:tcW w:w="487" w:type="pct"/>
                  <w:vAlign w:val="center"/>
                </w:tcPr>
                <w:p>
                  <w:pPr>
                    <w:jc w:val="center"/>
                    <w:rPr>
                      <w:szCs w:val="21"/>
                    </w:rPr>
                  </w:pPr>
                  <w:r>
                    <w:rPr>
                      <w:rFonts w:hint="eastAsia"/>
                      <w:szCs w:val="21"/>
                    </w:rPr>
                    <w:t>9</w:t>
                  </w:r>
                </w:p>
              </w:tc>
              <w:tc>
                <w:tcPr>
                  <w:tcW w:w="406" w:type="pct"/>
                  <w:vAlign w:val="center"/>
                </w:tcPr>
                <w:p>
                  <w:pPr>
                    <w:pStyle w:val="68"/>
                    <w:rPr>
                      <w:color w:val="auto"/>
                    </w:rPr>
                  </w:pPr>
                  <w:r>
                    <w:rPr>
                      <w:rFonts w:hint="eastAsia"/>
                      <w:color w:val="auto"/>
                    </w:rPr>
                    <w:t>75</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55</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12</w:t>
                  </w:r>
                </w:p>
              </w:tc>
              <w:tc>
                <w:tcPr>
                  <w:tcW w:w="1091" w:type="pct"/>
                  <w:vAlign w:val="center"/>
                </w:tcPr>
                <w:p>
                  <w:pPr>
                    <w:jc w:val="center"/>
                    <w:rPr>
                      <w:szCs w:val="21"/>
                    </w:rPr>
                  </w:pPr>
                  <w:r>
                    <w:rPr>
                      <w:rFonts w:hint="eastAsia"/>
                      <w:szCs w:val="21"/>
                    </w:rPr>
                    <w:t>包装机</w:t>
                  </w:r>
                </w:p>
              </w:tc>
              <w:tc>
                <w:tcPr>
                  <w:tcW w:w="487" w:type="pct"/>
                  <w:vAlign w:val="center"/>
                </w:tcPr>
                <w:p>
                  <w:pPr>
                    <w:jc w:val="center"/>
                    <w:rPr>
                      <w:szCs w:val="21"/>
                    </w:rPr>
                  </w:pPr>
                  <w:r>
                    <w:rPr>
                      <w:rFonts w:hint="eastAsia"/>
                      <w:szCs w:val="21"/>
                    </w:rPr>
                    <w:t>19</w:t>
                  </w:r>
                </w:p>
              </w:tc>
              <w:tc>
                <w:tcPr>
                  <w:tcW w:w="406" w:type="pct"/>
                  <w:vAlign w:val="center"/>
                </w:tcPr>
                <w:p>
                  <w:pPr>
                    <w:pStyle w:val="68"/>
                    <w:rPr>
                      <w:color w:val="auto"/>
                    </w:rPr>
                  </w:pPr>
                  <w:r>
                    <w:rPr>
                      <w:rFonts w:hint="eastAsia"/>
                      <w:color w:val="auto"/>
                    </w:rPr>
                    <w:t>70</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50</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13</w:t>
                  </w:r>
                </w:p>
              </w:tc>
              <w:tc>
                <w:tcPr>
                  <w:tcW w:w="1091" w:type="pct"/>
                  <w:vAlign w:val="center"/>
                </w:tcPr>
                <w:p>
                  <w:pPr>
                    <w:jc w:val="center"/>
                    <w:rPr>
                      <w:szCs w:val="21"/>
                    </w:rPr>
                  </w:pPr>
                  <w:r>
                    <w:rPr>
                      <w:rFonts w:hint="eastAsia"/>
                      <w:szCs w:val="21"/>
                    </w:rPr>
                    <w:t>封箱机</w:t>
                  </w:r>
                </w:p>
              </w:tc>
              <w:tc>
                <w:tcPr>
                  <w:tcW w:w="487" w:type="pct"/>
                  <w:vAlign w:val="center"/>
                </w:tcPr>
                <w:p>
                  <w:pPr>
                    <w:jc w:val="center"/>
                    <w:rPr>
                      <w:szCs w:val="21"/>
                    </w:rPr>
                  </w:pPr>
                  <w:r>
                    <w:rPr>
                      <w:rFonts w:hint="eastAsia"/>
                      <w:szCs w:val="21"/>
                    </w:rPr>
                    <w:t>6</w:t>
                  </w:r>
                </w:p>
              </w:tc>
              <w:tc>
                <w:tcPr>
                  <w:tcW w:w="406" w:type="pct"/>
                  <w:vAlign w:val="center"/>
                </w:tcPr>
                <w:p>
                  <w:pPr>
                    <w:pStyle w:val="68"/>
                    <w:rPr>
                      <w:color w:val="auto"/>
                    </w:rPr>
                  </w:pPr>
                  <w:r>
                    <w:rPr>
                      <w:rFonts w:hint="eastAsia"/>
                      <w:color w:val="auto"/>
                    </w:rPr>
                    <w:t>70</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50</w:t>
                  </w:r>
                </w:p>
              </w:tc>
              <w:tc>
                <w:tcPr>
                  <w:tcW w:w="501" w:type="pct"/>
                  <w:vAlign w:val="center"/>
                </w:tcPr>
                <w:p>
                  <w:pPr>
                    <w:jc w:val="center"/>
                    <w:rPr>
                      <w:szCs w:val="21"/>
                    </w:rPr>
                  </w:pPr>
                  <w:r>
                    <w:rPr>
                      <w:rFonts w:hint="eastAsia"/>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280" w:type="pct"/>
                  <w:vAlign w:val="center"/>
                </w:tcPr>
                <w:p>
                  <w:pPr>
                    <w:pStyle w:val="68"/>
                    <w:rPr>
                      <w:color w:val="auto"/>
                    </w:rPr>
                  </w:pPr>
                  <w:r>
                    <w:rPr>
                      <w:rFonts w:hint="eastAsia"/>
                      <w:color w:val="auto"/>
                    </w:rPr>
                    <w:t>14</w:t>
                  </w:r>
                </w:p>
              </w:tc>
              <w:tc>
                <w:tcPr>
                  <w:tcW w:w="1091" w:type="pct"/>
                  <w:vAlign w:val="center"/>
                </w:tcPr>
                <w:p>
                  <w:pPr>
                    <w:pStyle w:val="68"/>
                    <w:rPr>
                      <w:color w:val="auto"/>
                    </w:rPr>
                  </w:pPr>
                  <w:r>
                    <w:rPr>
                      <w:rFonts w:hint="eastAsia"/>
                      <w:color w:val="auto"/>
                    </w:rPr>
                    <w:t>风机</w:t>
                  </w:r>
                </w:p>
              </w:tc>
              <w:tc>
                <w:tcPr>
                  <w:tcW w:w="487" w:type="pct"/>
                  <w:vAlign w:val="center"/>
                </w:tcPr>
                <w:p>
                  <w:pPr>
                    <w:pStyle w:val="68"/>
                    <w:rPr>
                      <w:color w:val="auto"/>
                    </w:rPr>
                  </w:pPr>
                  <w:r>
                    <w:rPr>
                      <w:rFonts w:hint="eastAsia"/>
                      <w:color w:val="auto"/>
                    </w:rPr>
                    <w:t>2</w:t>
                  </w:r>
                </w:p>
              </w:tc>
              <w:tc>
                <w:tcPr>
                  <w:tcW w:w="406" w:type="pct"/>
                  <w:vAlign w:val="center"/>
                </w:tcPr>
                <w:p>
                  <w:pPr>
                    <w:pStyle w:val="68"/>
                    <w:rPr>
                      <w:color w:val="auto"/>
                    </w:rPr>
                  </w:pPr>
                  <w:r>
                    <w:rPr>
                      <w:rFonts w:hint="eastAsia"/>
                      <w:color w:val="auto"/>
                    </w:rPr>
                    <w:t>90</w:t>
                  </w:r>
                </w:p>
              </w:tc>
              <w:tc>
                <w:tcPr>
                  <w:tcW w:w="892" w:type="pct"/>
                  <w:vAlign w:val="center"/>
                </w:tcPr>
                <w:p>
                  <w:pPr>
                    <w:pStyle w:val="68"/>
                    <w:rPr>
                      <w:color w:val="auto"/>
                    </w:rPr>
                  </w:pPr>
                  <w:r>
                    <w:rPr>
                      <w:color w:val="auto"/>
                    </w:rPr>
                    <w:t>安装在室内</w:t>
                  </w:r>
                </w:p>
              </w:tc>
              <w:tc>
                <w:tcPr>
                  <w:tcW w:w="406" w:type="pct"/>
                  <w:vMerge w:val="continue"/>
                  <w:vAlign w:val="center"/>
                </w:tcPr>
                <w:p>
                  <w:pPr>
                    <w:pStyle w:val="68"/>
                    <w:rPr>
                      <w:snapToGrid w:val="0"/>
                      <w:color w:val="auto"/>
                    </w:rPr>
                  </w:pPr>
                </w:p>
              </w:tc>
              <w:tc>
                <w:tcPr>
                  <w:tcW w:w="431" w:type="pct"/>
                  <w:vAlign w:val="center"/>
                </w:tcPr>
                <w:p>
                  <w:pPr>
                    <w:pStyle w:val="68"/>
                    <w:rPr>
                      <w:snapToGrid w:val="0"/>
                      <w:color w:val="auto"/>
                    </w:rPr>
                  </w:pPr>
                  <w:r>
                    <w:rPr>
                      <w:rFonts w:hint="eastAsia"/>
                      <w:snapToGrid w:val="0"/>
                      <w:color w:val="auto"/>
                    </w:rPr>
                    <w:t>20</w:t>
                  </w:r>
                </w:p>
              </w:tc>
              <w:tc>
                <w:tcPr>
                  <w:tcW w:w="502" w:type="pct"/>
                  <w:vAlign w:val="center"/>
                </w:tcPr>
                <w:p>
                  <w:pPr>
                    <w:pStyle w:val="68"/>
                    <w:rPr>
                      <w:color w:val="auto"/>
                    </w:rPr>
                  </w:pPr>
                  <w:r>
                    <w:rPr>
                      <w:rFonts w:hint="eastAsia"/>
                      <w:color w:val="auto"/>
                    </w:rPr>
                    <w:t>70</w:t>
                  </w:r>
                </w:p>
              </w:tc>
              <w:tc>
                <w:tcPr>
                  <w:tcW w:w="501" w:type="pct"/>
                  <w:vAlign w:val="center"/>
                </w:tcPr>
                <w:p>
                  <w:pPr>
                    <w:jc w:val="center"/>
                    <w:rPr>
                      <w:szCs w:val="21"/>
                    </w:rPr>
                  </w:pPr>
                  <w:r>
                    <w:rPr>
                      <w:rFonts w:hint="eastAsia"/>
                      <w:szCs w:val="21"/>
                    </w:rPr>
                    <w:t>3000</w:t>
                  </w:r>
                </w:p>
              </w:tc>
            </w:tr>
          </w:tbl>
          <w:p>
            <w:pPr>
              <w:adjustRightInd w:val="0"/>
              <w:snapToGrid w:val="0"/>
              <w:spacing w:before="120" w:beforeLines="50" w:line="360" w:lineRule="auto"/>
              <w:ind w:firstLine="482" w:firstLineChars="200"/>
              <w:rPr>
                <w:b/>
                <w:bCs/>
                <w:sz w:val="24"/>
              </w:rPr>
            </w:pPr>
            <w:r>
              <w:rPr>
                <w:rFonts w:hint="eastAsia"/>
                <w:b/>
                <w:bCs/>
                <w:sz w:val="24"/>
              </w:rPr>
              <w:t>2、达标分析</w:t>
            </w:r>
          </w:p>
          <w:p>
            <w:pPr>
              <w:tabs>
                <w:tab w:val="left" w:pos="9348"/>
              </w:tabs>
              <w:spacing w:line="360" w:lineRule="auto"/>
              <w:ind w:firstLine="480" w:firstLineChars="200"/>
              <w:rPr>
                <w:bCs/>
                <w:kern w:val="0"/>
                <w:sz w:val="24"/>
              </w:rPr>
            </w:pPr>
            <w:r>
              <w:rPr>
                <w:bCs/>
                <w:kern w:val="0"/>
                <w:sz w:val="24"/>
              </w:rPr>
              <w:t>本项目噪声预测计算模式如下：</w:t>
            </w:r>
          </w:p>
          <w:p>
            <w:pPr>
              <w:spacing w:line="360" w:lineRule="auto"/>
              <w:ind w:firstLine="560"/>
              <w:rPr>
                <w:sz w:val="24"/>
              </w:rPr>
            </w:pPr>
            <w:r>
              <w:rPr>
                <w:sz w:val="24"/>
              </w:rPr>
              <w:t>（1）点声源衰减公式</w:t>
            </w:r>
          </w:p>
          <w:p>
            <w:pPr>
              <w:spacing w:line="360" w:lineRule="auto"/>
              <w:ind w:firstLine="560"/>
              <w:rPr>
                <w:sz w:val="24"/>
              </w:rPr>
            </w:pPr>
            <w:r>
              <w:rPr>
                <w:sz w:val="24"/>
              </w:rPr>
              <w:t>计算采用《环境影响评价技术导则—声环境》（HJ2.4-2009）中推荐的点声源衰减模式，计算公式如下：</w:t>
            </w:r>
          </w:p>
          <w:p>
            <w:pPr>
              <w:spacing w:line="360" w:lineRule="auto"/>
              <w:ind w:firstLine="560"/>
              <w:jc w:val="center"/>
              <w:rPr>
                <w:sz w:val="24"/>
              </w:rPr>
            </w:pPr>
            <w:r>
              <w:rPr>
                <w:rFonts w:hint="eastAsia"/>
                <w:sz w:val="24"/>
              </w:rPr>
              <w:drawing>
                <wp:inline distT="0" distB="0" distL="114300" distR="114300">
                  <wp:extent cx="2228850" cy="757555"/>
                  <wp:effectExtent l="0" t="0" r="0" b="4445"/>
                  <wp:docPr id="1" name="图片 1" descr="1619330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9330639(1)"/>
                          <pic:cNvPicPr>
                            <a:picLocks noChangeAspect="1"/>
                          </pic:cNvPicPr>
                        </pic:nvPicPr>
                        <pic:blipFill>
                          <a:blip r:embed="rId9"/>
                          <a:stretch>
                            <a:fillRect/>
                          </a:stretch>
                        </pic:blipFill>
                        <pic:spPr>
                          <a:xfrm>
                            <a:off x="0" y="0"/>
                            <a:ext cx="2228850" cy="757555"/>
                          </a:xfrm>
                          <a:prstGeom prst="rect">
                            <a:avLst/>
                          </a:prstGeom>
                          <a:noFill/>
                        </pic:spPr>
                      </pic:pic>
                    </a:graphicData>
                  </a:graphic>
                </wp:inline>
              </w:drawing>
            </w:r>
          </w:p>
          <w:p>
            <w:pPr>
              <w:adjustRightInd w:val="0"/>
              <w:snapToGrid w:val="0"/>
              <w:spacing w:line="500" w:lineRule="exact"/>
              <w:ind w:firstLine="600"/>
              <w:rPr>
                <w:sz w:val="24"/>
              </w:rPr>
            </w:pPr>
            <w:r>
              <w:rPr>
                <w:sz w:val="24"/>
              </w:rPr>
              <w:t>式中：</w:t>
            </w:r>
            <w:r>
              <w:rPr>
                <w:i/>
                <w:sz w:val="24"/>
              </w:rPr>
              <w:t>L</w:t>
            </w:r>
            <w:r>
              <w:rPr>
                <w:i/>
                <w:sz w:val="24"/>
                <w:vertAlign w:val="subscript"/>
              </w:rPr>
              <w:t>A</w:t>
            </w:r>
            <w:r>
              <w:rPr>
                <w:i/>
                <w:sz w:val="24"/>
              </w:rPr>
              <w:t>(r</w:t>
            </w:r>
            <w:r>
              <w:rPr>
                <w:i/>
                <w:sz w:val="24"/>
                <w:vertAlign w:val="subscript"/>
              </w:rPr>
              <w:t>0</w:t>
            </w:r>
            <w:r>
              <w:rPr>
                <w:i/>
                <w:sz w:val="24"/>
              </w:rPr>
              <w:t>)</w:t>
            </w:r>
            <w:r>
              <w:rPr>
                <w:sz w:val="24"/>
              </w:rPr>
              <w:t>——参考位置r</w:t>
            </w:r>
            <w:r>
              <w:rPr>
                <w:sz w:val="24"/>
                <w:vertAlign w:val="subscript"/>
              </w:rPr>
              <w:t>0</w:t>
            </w:r>
            <w:r>
              <w:rPr>
                <w:sz w:val="24"/>
              </w:rPr>
              <w:t>处的A声级，dB(A)；</w:t>
            </w:r>
          </w:p>
          <w:p>
            <w:pPr>
              <w:adjustRightInd w:val="0"/>
              <w:snapToGrid w:val="0"/>
              <w:spacing w:line="500" w:lineRule="exact"/>
              <w:ind w:firstLine="1226" w:firstLineChars="511"/>
              <w:rPr>
                <w:sz w:val="24"/>
              </w:rPr>
            </w:pPr>
            <w:r>
              <w:rPr>
                <w:i/>
                <w:sz w:val="24"/>
              </w:rPr>
              <w:t>L</w:t>
            </w:r>
            <w:r>
              <w:rPr>
                <w:i/>
                <w:sz w:val="24"/>
                <w:vertAlign w:val="subscript"/>
              </w:rPr>
              <w:t>A</w:t>
            </w:r>
            <w:r>
              <w:rPr>
                <w:i/>
                <w:sz w:val="24"/>
              </w:rPr>
              <w:t>(r)</w:t>
            </w:r>
            <w:r>
              <w:rPr>
                <w:sz w:val="24"/>
              </w:rPr>
              <w:t>——距离声源r处的A声级，dB(A)；</w:t>
            </w:r>
          </w:p>
          <w:p>
            <w:pPr>
              <w:adjustRightInd w:val="0"/>
              <w:snapToGrid w:val="0"/>
              <w:spacing w:line="500" w:lineRule="exact"/>
              <w:ind w:firstLine="1226" w:firstLineChars="511"/>
              <w:rPr>
                <w:sz w:val="24"/>
              </w:rPr>
            </w:pPr>
            <w:r>
              <w:rPr>
                <w:i/>
                <w:sz w:val="24"/>
              </w:rPr>
              <w:t>ΔL</w:t>
            </w:r>
            <w:r>
              <w:rPr>
                <w:sz w:val="24"/>
              </w:rPr>
              <w:t>——声屏障、遮挡物、空气吸收及地面效应引起的衰减量；</w:t>
            </w:r>
          </w:p>
          <w:p>
            <w:pPr>
              <w:adjustRightInd w:val="0"/>
              <w:snapToGrid w:val="0"/>
              <w:spacing w:line="500" w:lineRule="exact"/>
              <w:ind w:firstLine="1226" w:firstLineChars="511"/>
              <w:rPr>
                <w:sz w:val="24"/>
              </w:rPr>
            </w:pPr>
            <w:r>
              <w:rPr>
                <w:i/>
                <w:sz w:val="24"/>
              </w:rPr>
              <w:t>r</w:t>
            </w:r>
            <w:r>
              <w:rPr>
                <w:i/>
                <w:sz w:val="24"/>
                <w:vertAlign w:val="subscript"/>
              </w:rPr>
              <w:t>0</w:t>
            </w:r>
            <w:r>
              <w:rPr>
                <w:i/>
                <w:sz w:val="24"/>
              </w:rPr>
              <w:t>、r</w:t>
            </w:r>
            <w:r>
              <w:rPr>
                <w:sz w:val="24"/>
              </w:rPr>
              <w:t>——参考位置及预测点距声源的距离（m）。</w:t>
            </w:r>
          </w:p>
          <w:p>
            <w:pPr>
              <w:tabs>
                <w:tab w:val="left" w:pos="1120"/>
              </w:tabs>
              <w:spacing w:line="500" w:lineRule="exact"/>
              <w:ind w:firstLine="475" w:firstLineChars="198"/>
              <w:rPr>
                <w:sz w:val="24"/>
              </w:rPr>
            </w:pPr>
            <w:r>
              <w:rPr>
                <w:sz w:val="24"/>
              </w:rPr>
              <w:t>（2）项目声源在预测点产生的等效声级贡献值</w:t>
            </w:r>
          </w:p>
          <w:p>
            <w:pPr>
              <w:tabs>
                <w:tab w:val="left" w:pos="1120"/>
              </w:tabs>
              <w:spacing w:line="500" w:lineRule="exact"/>
              <w:ind w:firstLine="475" w:firstLineChars="198"/>
              <w:rPr>
                <w:sz w:val="24"/>
              </w:rPr>
            </w:pPr>
            <w:r>
              <w:rPr>
                <w:sz w:val="24"/>
              </w:rPr>
              <w:t>项目声源在预测点产生的等效声级贡献值计算公式：</w:t>
            </w:r>
          </w:p>
          <w:p>
            <w:pPr>
              <w:spacing w:line="500" w:lineRule="exact"/>
              <w:jc w:val="center"/>
              <w:rPr>
                <w:sz w:val="24"/>
              </w:rPr>
            </w:pPr>
            <w:r>
              <w:rPr>
                <w:rFonts w:hint="eastAsia"/>
                <w:sz w:val="24"/>
              </w:rPr>
              <w:drawing>
                <wp:anchor distT="0" distB="0" distL="114300" distR="114300" simplePos="0" relativeHeight="251660288" behindDoc="0" locked="0" layoutInCell="1" allowOverlap="1">
                  <wp:simplePos x="0" y="0"/>
                  <wp:positionH relativeFrom="column">
                    <wp:posOffset>1769745</wp:posOffset>
                  </wp:positionH>
                  <wp:positionV relativeFrom="paragraph">
                    <wp:posOffset>64770</wp:posOffset>
                  </wp:positionV>
                  <wp:extent cx="1847850" cy="609600"/>
                  <wp:effectExtent l="0" t="0" r="0" b="0"/>
                  <wp:wrapNone/>
                  <wp:docPr id="2" name="图片 2" descr="1619331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9331027(1)"/>
                          <pic:cNvPicPr>
                            <a:picLocks noChangeAspect="1"/>
                          </pic:cNvPicPr>
                        </pic:nvPicPr>
                        <pic:blipFill>
                          <a:blip r:embed="rId10"/>
                          <a:stretch>
                            <a:fillRect/>
                          </a:stretch>
                        </pic:blipFill>
                        <pic:spPr>
                          <a:xfrm>
                            <a:off x="0" y="0"/>
                            <a:ext cx="1847850" cy="609600"/>
                          </a:xfrm>
                          <a:prstGeom prst="rect">
                            <a:avLst/>
                          </a:prstGeom>
                        </pic:spPr>
                      </pic:pic>
                    </a:graphicData>
                  </a:graphic>
                </wp:anchor>
              </w:drawing>
            </w:r>
          </w:p>
          <w:p>
            <w:pPr>
              <w:spacing w:line="500" w:lineRule="exact"/>
              <w:jc w:val="center"/>
              <w:rPr>
                <w:sz w:val="24"/>
              </w:rPr>
            </w:pPr>
          </w:p>
          <w:p>
            <w:pPr>
              <w:tabs>
                <w:tab w:val="left" w:pos="1500"/>
              </w:tabs>
              <w:adjustRightInd w:val="0"/>
              <w:snapToGrid w:val="0"/>
              <w:spacing w:line="500" w:lineRule="exact"/>
              <w:ind w:firstLine="560"/>
              <w:rPr>
                <w:sz w:val="24"/>
              </w:rPr>
            </w:pPr>
            <w:r>
              <w:rPr>
                <w:sz w:val="24"/>
              </w:rPr>
              <w:t>式中：</w:t>
            </w:r>
            <w:r>
              <w:rPr>
                <w:i/>
                <w:sz w:val="24"/>
              </w:rPr>
              <w:t>L</w:t>
            </w:r>
            <w:r>
              <w:rPr>
                <w:i/>
                <w:sz w:val="24"/>
                <w:vertAlign w:val="subscript"/>
              </w:rPr>
              <w:t>eqg</w:t>
            </w:r>
            <w:r>
              <w:rPr>
                <w:sz w:val="24"/>
              </w:rPr>
              <w:t>——项目声源在预测点的等效声级贡献值，dB(A)；</w:t>
            </w:r>
          </w:p>
          <w:p>
            <w:pPr>
              <w:adjustRightInd w:val="0"/>
              <w:snapToGrid w:val="0"/>
              <w:spacing w:line="500" w:lineRule="exact"/>
              <w:ind w:firstLine="1195" w:firstLineChars="498"/>
              <w:rPr>
                <w:sz w:val="24"/>
              </w:rPr>
            </w:pPr>
            <w:r>
              <w:rPr>
                <w:i/>
                <w:sz w:val="24"/>
              </w:rPr>
              <w:t>L</w:t>
            </w:r>
            <w:r>
              <w:rPr>
                <w:i/>
                <w:sz w:val="24"/>
                <w:vertAlign w:val="subscript"/>
              </w:rPr>
              <w:t>Ai</w:t>
            </w:r>
            <w:r>
              <w:rPr>
                <w:sz w:val="24"/>
              </w:rPr>
              <w:t>——i声源在预测点产生的A声级，dB(A)；</w:t>
            </w:r>
          </w:p>
          <w:p>
            <w:pPr>
              <w:adjustRightInd w:val="0"/>
              <w:snapToGrid w:val="0"/>
              <w:spacing w:line="500" w:lineRule="exact"/>
              <w:ind w:firstLine="1195" w:firstLineChars="498"/>
              <w:rPr>
                <w:sz w:val="24"/>
              </w:rPr>
            </w:pPr>
            <w:r>
              <w:rPr>
                <w:i/>
                <w:sz w:val="24"/>
              </w:rPr>
              <w:t>T</w:t>
            </w:r>
            <w:r>
              <w:rPr>
                <w:sz w:val="24"/>
              </w:rPr>
              <w:t>——预测计算的时间段，s；</w:t>
            </w:r>
          </w:p>
          <w:p>
            <w:pPr>
              <w:adjustRightInd w:val="0"/>
              <w:snapToGrid w:val="0"/>
              <w:spacing w:line="500" w:lineRule="exact"/>
              <w:ind w:firstLine="1195" w:firstLineChars="498"/>
              <w:rPr>
                <w:sz w:val="24"/>
              </w:rPr>
            </w:pPr>
            <w:r>
              <w:rPr>
                <w:i/>
                <w:sz w:val="24"/>
              </w:rPr>
              <w:t>t</w:t>
            </w:r>
            <w:r>
              <w:rPr>
                <w:i/>
                <w:sz w:val="24"/>
                <w:vertAlign w:val="subscript"/>
              </w:rPr>
              <w:t>i</w:t>
            </w:r>
            <w:r>
              <w:rPr>
                <w:sz w:val="24"/>
              </w:rPr>
              <w:t>——i声源在</w:t>
            </w:r>
            <w:r>
              <w:rPr>
                <w:i/>
                <w:sz w:val="24"/>
              </w:rPr>
              <w:t>T</w:t>
            </w:r>
            <w:r>
              <w:rPr>
                <w:sz w:val="24"/>
              </w:rPr>
              <w:t>时段内的运行时间，s。</w:t>
            </w:r>
          </w:p>
          <w:p>
            <w:pPr>
              <w:tabs>
                <w:tab w:val="left" w:pos="1120"/>
              </w:tabs>
              <w:adjustRightInd w:val="0"/>
              <w:snapToGrid w:val="0"/>
              <w:spacing w:line="500" w:lineRule="exact"/>
              <w:ind w:firstLine="475" w:firstLineChars="198"/>
              <w:rPr>
                <w:sz w:val="24"/>
              </w:rPr>
            </w:pPr>
            <w:r>
              <w:rPr>
                <w:sz w:val="24"/>
              </w:rPr>
              <w:t>（3）预测点的预测等效声级</w:t>
            </w:r>
          </w:p>
          <w:p>
            <w:pPr>
              <w:tabs>
                <w:tab w:val="left" w:pos="1120"/>
              </w:tabs>
              <w:adjustRightInd w:val="0"/>
              <w:snapToGrid w:val="0"/>
              <w:spacing w:line="500" w:lineRule="exact"/>
              <w:ind w:firstLine="475" w:firstLineChars="198"/>
              <w:rPr>
                <w:sz w:val="24"/>
              </w:rPr>
            </w:pPr>
            <w:r>
              <w:rPr>
                <w:sz w:val="24"/>
              </w:rPr>
              <w:t>预测点的预测等效声级计算公式：</w:t>
            </w:r>
          </w:p>
          <w:p>
            <w:pPr>
              <w:spacing w:line="500" w:lineRule="exact"/>
              <w:jc w:val="center"/>
              <w:rPr>
                <w:sz w:val="24"/>
              </w:rPr>
            </w:pPr>
            <w:r>
              <w:rPr>
                <w:position w:val="-14"/>
                <w:sz w:val="24"/>
              </w:rPr>
              <w:object>
                <v:shape id="_x0000_i1025" o:spt="75" type="#_x0000_t75" style="height:20.95pt;width:139pt;" o:ole="t" fillcolor="#ACA899"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p>
            <w:pPr>
              <w:tabs>
                <w:tab w:val="left" w:pos="1500"/>
              </w:tabs>
              <w:spacing w:line="500" w:lineRule="exact"/>
              <w:ind w:firstLine="560"/>
              <w:rPr>
                <w:sz w:val="24"/>
              </w:rPr>
            </w:pPr>
            <w:r>
              <w:rPr>
                <w:sz w:val="24"/>
              </w:rPr>
              <w:t>式中：</w:t>
            </w:r>
            <w:r>
              <w:rPr>
                <w:i/>
                <w:sz w:val="24"/>
              </w:rPr>
              <w:t>L</w:t>
            </w:r>
            <w:r>
              <w:rPr>
                <w:i/>
                <w:sz w:val="24"/>
                <w:vertAlign w:val="subscript"/>
              </w:rPr>
              <w:t>eq</w:t>
            </w:r>
            <w:r>
              <w:rPr>
                <w:sz w:val="24"/>
              </w:rPr>
              <w:t>——预测点的预测等效声级，dB(A)；</w:t>
            </w:r>
          </w:p>
          <w:p>
            <w:pPr>
              <w:tabs>
                <w:tab w:val="left" w:pos="1500"/>
              </w:tabs>
              <w:spacing w:line="500" w:lineRule="exact"/>
              <w:ind w:firstLine="1200" w:firstLineChars="500"/>
              <w:rPr>
                <w:sz w:val="24"/>
              </w:rPr>
            </w:pPr>
            <w:r>
              <w:rPr>
                <w:i/>
                <w:sz w:val="24"/>
              </w:rPr>
              <w:t>L</w:t>
            </w:r>
            <w:r>
              <w:rPr>
                <w:i/>
                <w:sz w:val="24"/>
                <w:vertAlign w:val="subscript"/>
              </w:rPr>
              <w:t>eqg</w:t>
            </w:r>
            <w:r>
              <w:rPr>
                <w:sz w:val="24"/>
              </w:rPr>
              <w:t>——项目声源在预测点的等效声级贡献值，dB(A)；</w:t>
            </w:r>
          </w:p>
          <w:p>
            <w:pPr>
              <w:spacing w:line="500" w:lineRule="exact"/>
              <w:ind w:firstLine="1200" w:firstLineChars="500"/>
              <w:rPr>
                <w:sz w:val="24"/>
              </w:rPr>
            </w:pPr>
            <w:r>
              <w:rPr>
                <w:i/>
                <w:sz w:val="24"/>
              </w:rPr>
              <w:t>L</w:t>
            </w:r>
            <w:r>
              <w:rPr>
                <w:i/>
                <w:sz w:val="24"/>
                <w:vertAlign w:val="subscript"/>
              </w:rPr>
              <w:t>eqb</w:t>
            </w:r>
            <w:r>
              <w:rPr>
                <w:sz w:val="24"/>
              </w:rPr>
              <w:t>——预测点的背景值，dB(A)。</w:t>
            </w:r>
          </w:p>
          <w:p>
            <w:pPr>
              <w:spacing w:line="500" w:lineRule="exact"/>
              <w:ind w:firstLine="480" w:firstLineChars="200"/>
              <w:rPr>
                <w:snapToGrid w:val="0"/>
                <w:kern w:val="0"/>
                <w:sz w:val="24"/>
              </w:rPr>
            </w:pPr>
            <w:r>
              <w:rPr>
                <w:snapToGrid w:val="0"/>
                <w:kern w:val="0"/>
                <w:sz w:val="24"/>
              </w:rPr>
              <w:t>预测结果详见</w:t>
            </w:r>
            <w:r>
              <w:rPr>
                <w:rFonts w:hint="eastAsia"/>
                <w:snapToGrid w:val="0"/>
                <w:kern w:val="0"/>
                <w:sz w:val="24"/>
              </w:rPr>
              <w:t>下表</w:t>
            </w:r>
            <w:r>
              <w:rPr>
                <w:snapToGrid w:val="0"/>
                <w:kern w:val="0"/>
                <w:sz w:val="24"/>
              </w:rPr>
              <w:t>。</w:t>
            </w:r>
          </w:p>
          <w:p>
            <w:pPr>
              <w:snapToGrid w:val="0"/>
              <w:spacing w:before="120" w:beforeLines="50" w:line="360" w:lineRule="auto"/>
              <w:ind w:firstLine="561"/>
              <w:jc w:val="center"/>
              <w:rPr>
                <w:b/>
                <w:bCs/>
                <w:sz w:val="24"/>
              </w:rPr>
            </w:pPr>
            <w:r>
              <w:rPr>
                <w:b/>
                <w:bCs/>
                <w:sz w:val="24"/>
              </w:rPr>
              <w:t>表4</w:t>
            </w:r>
            <w:r>
              <w:rPr>
                <w:rFonts w:hint="eastAsia"/>
                <w:b/>
                <w:bCs/>
                <w:sz w:val="24"/>
              </w:rPr>
              <w:t>-13</w:t>
            </w:r>
            <w:r>
              <w:rPr>
                <w:b/>
                <w:bCs/>
                <w:sz w:val="24"/>
              </w:rPr>
              <w:t xml:space="preserve">  声环境影响预测结果一览表（单位：dB（A））</w:t>
            </w:r>
          </w:p>
          <w:tbl>
            <w:tblPr>
              <w:tblStyle w:val="22"/>
              <w:tblW w:w="82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
            <w:tblGrid>
              <w:gridCol w:w="1728"/>
              <w:gridCol w:w="992"/>
              <w:gridCol w:w="991"/>
              <w:gridCol w:w="1116"/>
              <w:gridCol w:w="1113"/>
              <w:gridCol w:w="1117"/>
              <w:gridCol w:w="11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09" w:type="dxa"/>
                  <w:vMerge w:val="restart"/>
                  <w:tcBorders>
                    <w:tl2br w:val="nil"/>
                    <w:tr2bl w:val="nil"/>
                  </w:tcBorders>
                  <w:noWrap/>
                  <w:vAlign w:val="center"/>
                </w:tcPr>
                <w:p>
                  <w:pPr>
                    <w:pStyle w:val="68"/>
                    <w:rPr>
                      <w:b/>
                      <w:bCs w:val="0"/>
                      <w:color w:val="auto"/>
                    </w:rPr>
                  </w:pPr>
                  <w:r>
                    <w:rPr>
                      <w:b/>
                      <w:bCs w:val="0"/>
                      <w:color w:val="auto"/>
                    </w:rPr>
                    <w:t>噪声源名称</w:t>
                  </w:r>
                </w:p>
              </w:tc>
              <w:tc>
                <w:tcPr>
                  <w:tcW w:w="1094" w:type="dxa"/>
                  <w:vMerge w:val="restart"/>
                  <w:tcBorders>
                    <w:tl2br w:val="nil"/>
                    <w:tr2bl w:val="nil"/>
                  </w:tcBorders>
                  <w:noWrap/>
                  <w:vAlign w:val="center"/>
                </w:tcPr>
                <w:p>
                  <w:pPr>
                    <w:pStyle w:val="68"/>
                    <w:rPr>
                      <w:b/>
                      <w:bCs w:val="0"/>
                      <w:color w:val="auto"/>
                    </w:rPr>
                  </w:pPr>
                  <w:r>
                    <w:rPr>
                      <w:b/>
                      <w:bCs w:val="0"/>
                      <w:color w:val="auto"/>
                    </w:rPr>
                    <w:t>降噪后源强</w:t>
                  </w:r>
                </w:p>
                <w:p>
                  <w:pPr>
                    <w:pStyle w:val="68"/>
                    <w:rPr>
                      <w:b/>
                      <w:bCs w:val="0"/>
                      <w:color w:val="auto"/>
                    </w:rPr>
                  </w:pPr>
                  <w:r>
                    <w:rPr>
                      <w:b/>
                      <w:bCs w:val="0"/>
                      <w:color w:val="auto"/>
                    </w:rPr>
                    <w:t>dB（A）</w:t>
                  </w:r>
                </w:p>
              </w:tc>
              <w:tc>
                <w:tcPr>
                  <w:tcW w:w="1093" w:type="dxa"/>
                  <w:vMerge w:val="restart"/>
                  <w:tcBorders>
                    <w:tl2br w:val="nil"/>
                    <w:tr2bl w:val="nil"/>
                  </w:tcBorders>
                  <w:noWrap/>
                  <w:vAlign w:val="center"/>
                </w:tcPr>
                <w:p>
                  <w:pPr>
                    <w:pStyle w:val="68"/>
                    <w:rPr>
                      <w:b/>
                      <w:bCs w:val="0"/>
                      <w:color w:val="auto"/>
                    </w:rPr>
                  </w:pPr>
                  <w:r>
                    <w:rPr>
                      <w:b/>
                      <w:bCs w:val="0"/>
                      <w:color w:val="auto"/>
                    </w:rPr>
                    <w:t>数量</w:t>
                  </w:r>
                </w:p>
                <w:p>
                  <w:pPr>
                    <w:pStyle w:val="68"/>
                    <w:rPr>
                      <w:b/>
                      <w:bCs w:val="0"/>
                      <w:color w:val="auto"/>
                    </w:rPr>
                  </w:pPr>
                  <w:r>
                    <w:rPr>
                      <w:b/>
                      <w:bCs w:val="0"/>
                      <w:color w:val="auto"/>
                    </w:rPr>
                    <w:t>（台）</w:t>
                  </w:r>
                </w:p>
              </w:tc>
              <w:tc>
                <w:tcPr>
                  <w:tcW w:w="4974" w:type="dxa"/>
                  <w:gridSpan w:val="4"/>
                  <w:tcBorders>
                    <w:tl2br w:val="nil"/>
                    <w:tr2bl w:val="nil"/>
                  </w:tcBorders>
                  <w:noWrap/>
                  <w:vAlign w:val="center"/>
                </w:tcPr>
                <w:p>
                  <w:pPr>
                    <w:pStyle w:val="68"/>
                    <w:rPr>
                      <w:b/>
                      <w:bCs w:val="0"/>
                      <w:color w:val="auto"/>
                    </w:rPr>
                  </w:pPr>
                  <w:r>
                    <w:rPr>
                      <w:b/>
                      <w:bCs w:val="0"/>
                      <w:color w:val="auto"/>
                    </w:rPr>
                    <w:t>影响值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09" w:type="dxa"/>
                  <w:vMerge w:val="continue"/>
                  <w:tcBorders>
                    <w:tl2br w:val="nil"/>
                    <w:tr2bl w:val="nil"/>
                  </w:tcBorders>
                  <w:noWrap/>
                  <w:vAlign w:val="center"/>
                </w:tcPr>
                <w:p>
                  <w:pPr>
                    <w:pStyle w:val="68"/>
                    <w:rPr>
                      <w:b/>
                      <w:bCs w:val="0"/>
                      <w:color w:val="auto"/>
                    </w:rPr>
                  </w:pPr>
                </w:p>
              </w:tc>
              <w:tc>
                <w:tcPr>
                  <w:tcW w:w="1094" w:type="dxa"/>
                  <w:vMerge w:val="continue"/>
                  <w:tcBorders>
                    <w:tl2br w:val="nil"/>
                    <w:tr2bl w:val="nil"/>
                  </w:tcBorders>
                  <w:noWrap/>
                  <w:vAlign w:val="center"/>
                </w:tcPr>
                <w:p>
                  <w:pPr>
                    <w:pStyle w:val="68"/>
                    <w:rPr>
                      <w:b/>
                      <w:bCs w:val="0"/>
                      <w:color w:val="auto"/>
                    </w:rPr>
                  </w:pPr>
                </w:p>
              </w:tc>
              <w:tc>
                <w:tcPr>
                  <w:tcW w:w="1093" w:type="dxa"/>
                  <w:vMerge w:val="continue"/>
                  <w:tcBorders>
                    <w:tl2br w:val="nil"/>
                    <w:tr2bl w:val="nil"/>
                  </w:tcBorders>
                  <w:noWrap/>
                  <w:vAlign w:val="center"/>
                </w:tcPr>
                <w:p>
                  <w:pPr>
                    <w:pStyle w:val="68"/>
                    <w:rPr>
                      <w:b/>
                      <w:bCs w:val="0"/>
                      <w:color w:val="auto"/>
                    </w:rPr>
                  </w:pPr>
                </w:p>
              </w:tc>
              <w:tc>
                <w:tcPr>
                  <w:tcW w:w="1231" w:type="dxa"/>
                  <w:tcBorders>
                    <w:tl2br w:val="nil"/>
                    <w:tr2bl w:val="nil"/>
                  </w:tcBorders>
                  <w:noWrap/>
                  <w:vAlign w:val="center"/>
                </w:tcPr>
                <w:p>
                  <w:pPr>
                    <w:pStyle w:val="68"/>
                    <w:rPr>
                      <w:b/>
                      <w:bCs w:val="0"/>
                      <w:color w:val="auto"/>
                    </w:rPr>
                  </w:pPr>
                  <w:r>
                    <w:rPr>
                      <w:b/>
                      <w:bCs w:val="0"/>
                      <w:color w:val="auto"/>
                    </w:rPr>
                    <w:t>东厂界</w:t>
                  </w:r>
                </w:p>
              </w:tc>
              <w:tc>
                <w:tcPr>
                  <w:tcW w:w="1228" w:type="dxa"/>
                  <w:tcBorders>
                    <w:tl2br w:val="nil"/>
                    <w:tr2bl w:val="nil"/>
                  </w:tcBorders>
                  <w:noWrap/>
                  <w:vAlign w:val="center"/>
                </w:tcPr>
                <w:p>
                  <w:pPr>
                    <w:pStyle w:val="68"/>
                    <w:rPr>
                      <w:b/>
                      <w:bCs w:val="0"/>
                      <w:color w:val="auto"/>
                    </w:rPr>
                  </w:pPr>
                  <w:r>
                    <w:rPr>
                      <w:b/>
                      <w:bCs w:val="0"/>
                      <w:color w:val="auto"/>
                    </w:rPr>
                    <w:t>南厂界</w:t>
                  </w:r>
                </w:p>
              </w:tc>
              <w:tc>
                <w:tcPr>
                  <w:tcW w:w="1232" w:type="dxa"/>
                  <w:tcBorders>
                    <w:tl2br w:val="nil"/>
                    <w:tr2bl w:val="nil"/>
                  </w:tcBorders>
                  <w:noWrap/>
                  <w:vAlign w:val="center"/>
                </w:tcPr>
                <w:p>
                  <w:pPr>
                    <w:pStyle w:val="68"/>
                    <w:rPr>
                      <w:b/>
                      <w:bCs w:val="0"/>
                      <w:color w:val="auto"/>
                    </w:rPr>
                  </w:pPr>
                  <w:r>
                    <w:rPr>
                      <w:b/>
                      <w:bCs w:val="0"/>
                      <w:color w:val="auto"/>
                    </w:rPr>
                    <w:t>西厂界</w:t>
                  </w:r>
                </w:p>
              </w:tc>
              <w:tc>
                <w:tcPr>
                  <w:tcW w:w="1283" w:type="dxa"/>
                  <w:tcBorders>
                    <w:tl2br w:val="nil"/>
                    <w:tr2bl w:val="nil"/>
                  </w:tcBorders>
                  <w:noWrap/>
                  <w:vAlign w:val="center"/>
                </w:tcPr>
                <w:p>
                  <w:pPr>
                    <w:pStyle w:val="68"/>
                    <w:rPr>
                      <w:b/>
                      <w:bCs w:val="0"/>
                      <w:color w:val="auto"/>
                    </w:rPr>
                  </w:pPr>
                  <w:r>
                    <w:rPr>
                      <w:b/>
                      <w:bCs w:val="0"/>
                      <w:color w:val="auto"/>
                    </w:rPr>
                    <w:t>北厂界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4" w:hRule="atLeast"/>
                <w:jc w:val="center"/>
              </w:trPr>
              <w:tc>
                <w:tcPr>
                  <w:tcW w:w="1909" w:type="dxa"/>
                  <w:tcBorders>
                    <w:tl2br w:val="nil"/>
                    <w:tr2bl w:val="nil"/>
                  </w:tcBorders>
                  <w:noWrap/>
                  <w:vAlign w:val="center"/>
                </w:tcPr>
                <w:p>
                  <w:pPr>
                    <w:jc w:val="center"/>
                    <w:rPr>
                      <w:szCs w:val="21"/>
                    </w:rPr>
                  </w:pPr>
                  <w:r>
                    <w:rPr>
                      <w:rFonts w:hint="eastAsia"/>
                      <w:szCs w:val="21"/>
                    </w:rPr>
                    <w:t>片材机</w:t>
                  </w:r>
                </w:p>
              </w:tc>
              <w:tc>
                <w:tcPr>
                  <w:tcW w:w="1094" w:type="dxa"/>
                  <w:tcBorders>
                    <w:tl2br w:val="nil"/>
                    <w:tr2bl w:val="nil"/>
                  </w:tcBorders>
                  <w:noWrap/>
                  <w:vAlign w:val="center"/>
                </w:tcPr>
                <w:p>
                  <w:pPr>
                    <w:pStyle w:val="68"/>
                    <w:rPr>
                      <w:color w:val="auto"/>
                    </w:rPr>
                  </w:pPr>
                  <w:r>
                    <w:rPr>
                      <w:rFonts w:hint="eastAsia"/>
                      <w:color w:val="auto"/>
                    </w:rPr>
                    <w:t>55</w:t>
                  </w:r>
                </w:p>
              </w:tc>
              <w:tc>
                <w:tcPr>
                  <w:tcW w:w="1093" w:type="dxa"/>
                  <w:tcBorders>
                    <w:tl2br w:val="nil"/>
                    <w:tr2bl w:val="nil"/>
                  </w:tcBorders>
                  <w:noWrap/>
                  <w:vAlign w:val="center"/>
                </w:tcPr>
                <w:p>
                  <w:pPr>
                    <w:jc w:val="center"/>
                    <w:rPr>
                      <w:szCs w:val="21"/>
                    </w:rPr>
                  </w:pPr>
                  <w:r>
                    <w:rPr>
                      <w:rFonts w:hint="eastAsia"/>
                      <w:szCs w:val="21"/>
                    </w:rPr>
                    <w:t>3</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20.7 </w:t>
                  </w:r>
                </w:p>
              </w:tc>
              <w:tc>
                <w:tcPr>
                  <w:tcW w:w="1228" w:type="dxa"/>
                  <w:tcBorders>
                    <w:tl2br w:val="nil"/>
                    <w:tr2bl w:val="nil"/>
                  </w:tcBorders>
                  <w:noWrap/>
                  <w:vAlign w:val="bottom"/>
                </w:tcPr>
                <w:p>
                  <w:pPr>
                    <w:widowControl/>
                    <w:jc w:val="center"/>
                    <w:textAlignment w:val="bottom"/>
                    <w:rPr>
                      <w:szCs w:val="21"/>
                    </w:rPr>
                  </w:pPr>
                  <w:r>
                    <w:rPr>
                      <w:color w:val="000000"/>
                      <w:kern w:val="0"/>
                      <w:szCs w:val="21"/>
                      <w:lang w:bidi="ar"/>
                    </w:rPr>
                    <w:t>70</w:t>
                  </w:r>
                </w:p>
              </w:tc>
              <w:tc>
                <w:tcPr>
                  <w:tcW w:w="1232" w:type="dxa"/>
                  <w:tcBorders>
                    <w:tl2br w:val="nil"/>
                    <w:tr2bl w:val="nil"/>
                  </w:tcBorders>
                  <w:noWrap/>
                  <w:vAlign w:val="bottom"/>
                </w:tcPr>
                <w:p>
                  <w:pPr>
                    <w:widowControl/>
                    <w:jc w:val="center"/>
                    <w:textAlignment w:val="bottom"/>
                    <w:rPr>
                      <w:szCs w:val="21"/>
                    </w:rPr>
                  </w:pPr>
                  <w:r>
                    <w:rPr>
                      <w:color w:val="000000"/>
                      <w:kern w:val="0"/>
                      <w:szCs w:val="21"/>
                      <w:lang w:bidi="ar"/>
                    </w:rPr>
                    <w:t>282</w:t>
                  </w:r>
                </w:p>
              </w:tc>
              <w:tc>
                <w:tcPr>
                  <w:tcW w:w="1283" w:type="dxa"/>
                  <w:tcBorders>
                    <w:tl2br w:val="nil"/>
                    <w:tr2bl w:val="nil"/>
                  </w:tcBorders>
                  <w:noWrap/>
                  <w:vAlign w:val="bottom"/>
                </w:tcPr>
                <w:p>
                  <w:pPr>
                    <w:widowControl/>
                    <w:jc w:val="center"/>
                    <w:textAlignment w:val="bottom"/>
                    <w:rPr>
                      <w:szCs w:val="21"/>
                    </w:rPr>
                  </w:pPr>
                  <w:r>
                    <w:rPr>
                      <w:color w:val="000000"/>
                      <w:kern w:val="0"/>
                      <w:szCs w:val="21"/>
                      <w:lang w:bidi="ar"/>
                    </w:rPr>
                    <w:t>237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2" w:hRule="atLeast"/>
                <w:jc w:val="center"/>
              </w:trPr>
              <w:tc>
                <w:tcPr>
                  <w:tcW w:w="1909" w:type="dxa"/>
                  <w:tcBorders>
                    <w:tl2br w:val="nil"/>
                    <w:tr2bl w:val="nil"/>
                  </w:tcBorders>
                  <w:noWrap/>
                  <w:vAlign w:val="center"/>
                </w:tcPr>
                <w:p>
                  <w:pPr>
                    <w:jc w:val="center"/>
                    <w:rPr>
                      <w:szCs w:val="21"/>
                    </w:rPr>
                  </w:pPr>
                  <w:r>
                    <w:rPr>
                      <w:rFonts w:hint="eastAsia"/>
                      <w:szCs w:val="21"/>
                    </w:rPr>
                    <w:t>吸塑、裁断一体机</w:t>
                  </w:r>
                </w:p>
              </w:tc>
              <w:tc>
                <w:tcPr>
                  <w:tcW w:w="1094" w:type="dxa"/>
                  <w:tcBorders>
                    <w:tl2br w:val="nil"/>
                    <w:tr2bl w:val="nil"/>
                  </w:tcBorders>
                  <w:noWrap/>
                  <w:vAlign w:val="center"/>
                </w:tcPr>
                <w:p>
                  <w:pPr>
                    <w:pStyle w:val="68"/>
                    <w:rPr>
                      <w:color w:val="auto"/>
                    </w:rPr>
                  </w:pPr>
                  <w:r>
                    <w:rPr>
                      <w:rFonts w:hint="eastAsia"/>
                      <w:color w:val="auto"/>
                    </w:rPr>
                    <w:t>55</w:t>
                  </w:r>
                </w:p>
              </w:tc>
              <w:tc>
                <w:tcPr>
                  <w:tcW w:w="1093" w:type="dxa"/>
                  <w:tcBorders>
                    <w:tl2br w:val="nil"/>
                    <w:tr2bl w:val="nil"/>
                  </w:tcBorders>
                  <w:noWrap/>
                  <w:vAlign w:val="center"/>
                </w:tcPr>
                <w:p>
                  <w:pPr>
                    <w:jc w:val="center"/>
                    <w:rPr>
                      <w:szCs w:val="21"/>
                    </w:rPr>
                  </w:pPr>
                  <w:r>
                    <w:rPr>
                      <w:rFonts w:hint="eastAsia"/>
                      <w:szCs w:val="21"/>
                    </w:rPr>
                    <w:t>4</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21.9 </w:t>
                  </w:r>
                </w:p>
              </w:tc>
              <w:tc>
                <w:tcPr>
                  <w:tcW w:w="1228" w:type="dxa"/>
                  <w:tcBorders>
                    <w:tl2br w:val="nil"/>
                    <w:tr2bl w:val="nil"/>
                  </w:tcBorders>
                  <w:noWrap/>
                  <w:vAlign w:val="bottom"/>
                </w:tcPr>
                <w:p>
                  <w:pPr>
                    <w:widowControl/>
                    <w:jc w:val="center"/>
                    <w:textAlignment w:val="bottom"/>
                    <w:rPr>
                      <w:szCs w:val="21"/>
                    </w:rPr>
                  </w:pPr>
                  <w:r>
                    <w:rPr>
                      <w:color w:val="000000"/>
                      <w:kern w:val="0"/>
                      <w:szCs w:val="21"/>
                      <w:lang w:bidi="ar"/>
                    </w:rPr>
                    <w:t>60</w:t>
                  </w:r>
                </w:p>
              </w:tc>
              <w:tc>
                <w:tcPr>
                  <w:tcW w:w="1232" w:type="dxa"/>
                  <w:tcBorders>
                    <w:tl2br w:val="nil"/>
                    <w:tr2bl w:val="nil"/>
                  </w:tcBorders>
                  <w:noWrap/>
                  <w:vAlign w:val="bottom"/>
                </w:tcPr>
                <w:p>
                  <w:pPr>
                    <w:widowControl/>
                    <w:jc w:val="center"/>
                    <w:textAlignment w:val="bottom"/>
                    <w:rPr>
                      <w:szCs w:val="21"/>
                    </w:rPr>
                  </w:pPr>
                  <w:r>
                    <w:rPr>
                      <w:color w:val="000000"/>
                      <w:kern w:val="0"/>
                      <w:szCs w:val="21"/>
                      <w:lang w:bidi="ar"/>
                    </w:rPr>
                    <w:t>282</w:t>
                  </w:r>
                </w:p>
              </w:tc>
              <w:tc>
                <w:tcPr>
                  <w:tcW w:w="1283" w:type="dxa"/>
                  <w:tcBorders>
                    <w:tl2br w:val="nil"/>
                    <w:tr2bl w:val="nil"/>
                  </w:tcBorders>
                  <w:noWrap/>
                  <w:vAlign w:val="bottom"/>
                </w:tcPr>
                <w:p>
                  <w:pPr>
                    <w:widowControl/>
                    <w:jc w:val="center"/>
                    <w:textAlignment w:val="bottom"/>
                    <w:rPr>
                      <w:szCs w:val="21"/>
                    </w:rPr>
                  </w:pPr>
                  <w:r>
                    <w:rPr>
                      <w:color w:val="000000"/>
                      <w:kern w:val="0"/>
                      <w:szCs w:val="21"/>
                      <w:lang w:bidi="ar"/>
                    </w:rPr>
                    <w:t>247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09" w:type="dxa"/>
                  <w:tcBorders>
                    <w:tl2br w:val="nil"/>
                    <w:tr2bl w:val="nil"/>
                  </w:tcBorders>
                  <w:noWrap/>
                  <w:vAlign w:val="center"/>
                </w:tcPr>
                <w:p>
                  <w:pPr>
                    <w:jc w:val="center"/>
                    <w:rPr>
                      <w:szCs w:val="21"/>
                    </w:rPr>
                  </w:pPr>
                  <w:r>
                    <w:rPr>
                      <w:rFonts w:hint="eastAsia"/>
                      <w:szCs w:val="21"/>
                    </w:rPr>
                    <w:t>吸塑机</w:t>
                  </w:r>
                </w:p>
              </w:tc>
              <w:tc>
                <w:tcPr>
                  <w:tcW w:w="1094" w:type="dxa"/>
                  <w:tcBorders>
                    <w:tl2br w:val="nil"/>
                    <w:tr2bl w:val="nil"/>
                  </w:tcBorders>
                  <w:noWrap/>
                  <w:vAlign w:val="center"/>
                </w:tcPr>
                <w:p>
                  <w:pPr>
                    <w:pStyle w:val="68"/>
                    <w:rPr>
                      <w:color w:val="auto"/>
                    </w:rPr>
                  </w:pPr>
                  <w:r>
                    <w:rPr>
                      <w:rFonts w:hint="eastAsia"/>
                      <w:color w:val="auto"/>
                    </w:rPr>
                    <w:t>50</w:t>
                  </w:r>
                </w:p>
              </w:tc>
              <w:tc>
                <w:tcPr>
                  <w:tcW w:w="1093" w:type="dxa"/>
                  <w:tcBorders>
                    <w:tl2br w:val="nil"/>
                    <w:tr2bl w:val="nil"/>
                  </w:tcBorders>
                  <w:noWrap/>
                  <w:vAlign w:val="center"/>
                </w:tcPr>
                <w:p>
                  <w:pPr>
                    <w:jc w:val="center"/>
                    <w:rPr>
                      <w:szCs w:val="21"/>
                    </w:rPr>
                  </w:pPr>
                  <w:r>
                    <w:rPr>
                      <w:rFonts w:hint="eastAsia"/>
                      <w:szCs w:val="21"/>
                    </w:rPr>
                    <w:t>5</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17.9 </w:t>
                  </w:r>
                </w:p>
              </w:tc>
              <w:tc>
                <w:tcPr>
                  <w:tcW w:w="1228" w:type="dxa"/>
                  <w:tcBorders>
                    <w:tl2br w:val="nil"/>
                    <w:tr2bl w:val="nil"/>
                  </w:tcBorders>
                  <w:noWrap/>
                  <w:vAlign w:val="bottom"/>
                </w:tcPr>
                <w:p>
                  <w:pPr>
                    <w:widowControl/>
                    <w:jc w:val="center"/>
                    <w:textAlignment w:val="bottom"/>
                    <w:rPr>
                      <w:szCs w:val="21"/>
                    </w:rPr>
                  </w:pPr>
                  <w:r>
                    <w:rPr>
                      <w:color w:val="000000"/>
                      <w:kern w:val="0"/>
                      <w:szCs w:val="21"/>
                      <w:lang w:bidi="ar"/>
                    </w:rPr>
                    <w:t>55</w:t>
                  </w:r>
                </w:p>
              </w:tc>
              <w:tc>
                <w:tcPr>
                  <w:tcW w:w="1232" w:type="dxa"/>
                  <w:tcBorders>
                    <w:tl2br w:val="nil"/>
                    <w:tr2bl w:val="nil"/>
                  </w:tcBorders>
                  <w:noWrap/>
                  <w:vAlign w:val="bottom"/>
                </w:tcPr>
                <w:p>
                  <w:pPr>
                    <w:widowControl/>
                    <w:jc w:val="center"/>
                    <w:textAlignment w:val="bottom"/>
                    <w:rPr>
                      <w:szCs w:val="21"/>
                    </w:rPr>
                  </w:pPr>
                  <w:r>
                    <w:rPr>
                      <w:color w:val="000000"/>
                      <w:kern w:val="0"/>
                      <w:szCs w:val="21"/>
                      <w:lang w:bidi="ar"/>
                    </w:rPr>
                    <w:t>282</w:t>
                  </w:r>
                </w:p>
              </w:tc>
              <w:tc>
                <w:tcPr>
                  <w:tcW w:w="1283" w:type="dxa"/>
                  <w:tcBorders>
                    <w:tl2br w:val="nil"/>
                    <w:tr2bl w:val="nil"/>
                  </w:tcBorders>
                  <w:noWrap/>
                  <w:vAlign w:val="bottom"/>
                </w:tcPr>
                <w:p>
                  <w:pPr>
                    <w:widowControl/>
                    <w:jc w:val="center"/>
                    <w:textAlignment w:val="bottom"/>
                    <w:rPr>
                      <w:szCs w:val="21"/>
                    </w:rPr>
                  </w:pPr>
                  <w:r>
                    <w:rPr>
                      <w:color w:val="000000"/>
                      <w:kern w:val="0"/>
                      <w:szCs w:val="21"/>
                      <w:lang w:bidi="ar"/>
                    </w:rPr>
                    <w:t>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裁断机</w:t>
                  </w:r>
                </w:p>
              </w:tc>
              <w:tc>
                <w:tcPr>
                  <w:tcW w:w="1094" w:type="dxa"/>
                  <w:tcBorders>
                    <w:tl2br w:val="nil"/>
                    <w:tr2bl w:val="nil"/>
                  </w:tcBorders>
                  <w:noWrap/>
                  <w:vAlign w:val="center"/>
                </w:tcPr>
                <w:p>
                  <w:pPr>
                    <w:pStyle w:val="68"/>
                    <w:rPr>
                      <w:color w:val="auto"/>
                    </w:rPr>
                  </w:pPr>
                  <w:r>
                    <w:rPr>
                      <w:rFonts w:hint="eastAsia"/>
                      <w:color w:val="auto"/>
                    </w:rPr>
                    <w:t>55</w:t>
                  </w:r>
                </w:p>
              </w:tc>
              <w:tc>
                <w:tcPr>
                  <w:tcW w:w="1093" w:type="dxa"/>
                  <w:tcBorders>
                    <w:tl2br w:val="nil"/>
                    <w:tr2bl w:val="nil"/>
                  </w:tcBorders>
                  <w:noWrap/>
                  <w:vAlign w:val="center"/>
                </w:tcPr>
                <w:p>
                  <w:pPr>
                    <w:jc w:val="center"/>
                    <w:rPr>
                      <w:szCs w:val="21"/>
                    </w:rPr>
                  </w:pPr>
                  <w:r>
                    <w:rPr>
                      <w:rFonts w:hint="eastAsia"/>
                      <w:szCs w:val="21"/>
                    </w:rPr>
                    <w:t>8</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26.0 </w:t>
                  </w:r>
                </w:p>
              </w:tc>
              <w:tc>
                <w:tcPr>
                  <w:tcW w:w="1228" w:type="dxa"/>
                  <w:tcBorders>
                    <w:tl2br w:val="nil"/>
                    <w:tr2bl w:val="nil"/>
                  </w:tcBorders>
                  <w:noWrap/>
                  <w:vAlign w:val="bottom"/>
                </w:tcPr>
                <w:p>
                  <w:pPr>
                    <w:widowControl/>
                    <w:jc w:val="center"/>
                    <w:textAlignment w:val="bottom"/>
                    <w:rPr>
                      <w:szCs w:val="21"/>
                    </w:rPr>
                  </w:pPr>
                  <w:r>
                    <w:rPr>
                      <w:color w:val="000000"/>
                      <w:kern w:val="0"/>
                      <w:szCs w:val="21"/>
                      <w:lang w:bidi="ar"/>
                    </w:rPr>
                    <w:t>60</w:t>
                  </w:r>
                </w:p>
              </w:tc>
              <w:tc>
                <w:tcPr>
                  <w:tcW w:w="1232" w:type="dxa"/>
                  <w:tcBorders>
                    <w:tl2br w:val="nil"/>
                    <w:tr2bl w:val="nil"/>
                  </w:tcBorders>
                  <w:noWrap/>
                  <w:vAlign w:val="bottom"/>
                </w:tcPr>
                <w:p>
                  <w:pPr>
                    <w:widowControl/>
                    <w:jc w:val="center"/>
                    <w:textAlignment w:val="bottom"/>
                    <w:rPr>
                      <w:szCs w:val="21"/>
                    </w:rPr>
                  </w:pPr>
                  <w:r>
                    <w:rPr>
                      <w:color w:val="000000"/>
                      <w:kern w:val="0"/>
                      <w:szCs w:val="21"/>
                      <w:lang w:bidi="ar"/>
                    </w:rPr>
                    <w:t>292</w:t>
                  </w:r>
                </w:p>
              </w:tc>
              <w:tc>
                <w:tcPr>
                  <w:tcW w:w="1283" w:type="dxa"/>
                  <w:tcBorders>
                    <w:tl2br w:val="nil"/>
                    <w:tr2bl w:val="nil"/>
                  </w:tcBorders>
                  <w:noWrap/>
                  <w:vAlign w:val="bottom"/>
                </w:tcPr>
                <w:p>
                  <w:pPr>
                    <w:widowControl/>
                    <w:jc w:val="center"/>
                    <w:textAlignment w:val="bottom"/>
                    <w:rPr>
                      <w:szCs w:val="21"/>
                    </w:rPr>
                  </w:pPr>
                  <w:r>
                    <w:rPr>
                      <w:color w:val="000000"/>
                      <w:kern w:val="0"/>
                      <w:szCs w:val="21"/>
                      <w:lang w:bidi="ar"/>
                    </w:rPr>
                    <w:t>247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注塑机</w:t>
                  </w:r>
                </w:p>
              </w:tc>
              <w:tc>
                <w:tcPr>
                  <w:tcW w:w="1094" w:type="dxa"/>
                  <w:tcBorders>
                    <w:tl2br w:val="nil"/>
                    <w:tr2bl w:val="nil"/>
                  </w:tcBorders>
                  <w:noWrap/>
                  <w:vAlign w:val="center"/>
                </w:tcPr>
                <w:p>
                  <w:pPr>
                    <w:pStyle w:val="68"/>
                    <w:rPr>
                      <w:color w:val="auto"/>
                    </w:rPr>
                  </w:pPr>
                  <w:r>
                    <w:rPr>
                      <w:rFonts w:hint="eastAsia"/>
                      <w:color w:val="auto"/>
                    </w:rPr>
                    <w:t>55</w:t>
                  </w:r>
                </w:p>
              </w:tc>
              <w:tc>
                <w:tcPr>
                  <w:tcW w:w="1093" w:type="dxa"/>
                  <w:tcBorders>
                    <w:tl2br w:val="nil"/>
                    <w:tr2bl w:val="nil"/>
                  </w:tcBorders>
                  <w:noWrap/>
                  <w:vAlign w:val="center"/>
                </w:tcPr>
                <w:p>
                  <w:pPr>
                    <w:jc w:val="center"/>
                    <w:rPr>
                      <w:szCs w:val="21"/>
                    </w:rPr>
                  </w:pPr>
                  <w:r>
                    <w:rPr>
                      <w:rFonts w:hint="eastAsia"/>
                      <w:szCs w:val="21"/>
                    </w:rPr>
                    <w:t>6</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25.9 </w:t>
                  </w:r>
                </w:p>
              </w:tc>
              <w:tc>
                <w:tcPr>
                  <w:tcW w:w="1228" w:type="dxa"/>
                  <w:tcBorders>
                    <w:tl2br w:val="nil"/>
                    <w:tr2bl w:val="nil"/>
                  </w:tcBorders>
                  <w:noWrap/>
                  <w:vAlign w:val="bottom"/>
                </w:tcPr>
                <w:p>
                  <w:pPr>
                    <w:widowControl/>
                    <w:jc w:val="center"/>
                    <w:textAlignment w:val="bottom"/>
                    <w:rPr>
                      <w:szCs w:val="21"/>
                    </w:rPr>
                  </w:pPr>
                  <w:r>
                    <w:rPr>
                      <w:color w:val="000000"/>
                      <w:kern w:val="0"/>
                      <w:szCs w:val="21"/>
                      <w:lang w:bidi="ar"/>
                    </w:rPr>
                    <w:t>60</w:t>
                  </w:r>
                </w:p>
              </w:tc>
              <w:tc>
                <w:tcPr>
                  <w:tcW w:w="1232" w:type="dxa"/>
                  <w:tcBorders>
                    <w:tl2br w:val="nil"/>
                    <w:tr2bl w:val="nil"/>
                  </w:tcBorders>
                  <w:noWrap/>
                  <w:vAlign w:val="bottom"/>
                </w:tcPr>
                <w:p>
                  <w:pPr>
                    <w:widowControl/>
                    <w:jc w:val="center"/>
                    <w:textAlignment w:val="bottom"/>
                    <w:rPr>
                      <w:szCs w:val="21"/>
                    </w:rPr>
                  </w:pPr>
                  <w:r>
                    <w:rPr>
                      <w:color w:val="000000"/>
                      <w:kern w:val="0"/>
                      <w:szCs w:val="21"/>
                      <w:lang w:bidi="ar"/>
                    </w:rPr>
                    <w:t>302</w:t>
                  </w:r>
                </w:p>
              </w:tc>
              <w:tc>
                <w:tcPr>
                  <w:tcW w:w="1283" w:type="dxa"/>
                  <w:tcBorders>
                    <w:tl2br w:val="nil"/>
                    <w:tr2bl w:val="nil"/>
                  </w:tcBorders>
                  <w:noWrap/>
                  <w:vAlign w:val="bottom"/>
                </w:tcPr>
                <w:p>
                  <w:pPr>
                    <w:widowControl/>
                    <w:jc w:val="center"/>
                    <w:textAlignment w:val="bottom"/>
                    <w:rPr>
                      <w:szCs w:val="21"/>
                    </w:rPr>
                  </w:pPr>
                  <w:r>
                    <w:rPr>
                      <w:color w:val="000000"/>
                      <w:kern w:val="0"/>
                      <w:szCs w:val="21"/>
                      <w:lang w:bidi="ar"/>
                    </w:rPr>
                    <w:t>247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粉碎机</w:t>
                  </w:r>
                </w:p>
              </w:tc>
              <w:tc>
                <w:tcPr>
                  <w:tcW w:w="1094" w:type="dxa"/>
                  <w:tcBorders>
                    <w:tl2br w:val="nil"/>
                    <w:tr2bl w:val="nil"/>
                  </w:tcBorders>
                  <w:noWrap/>
                  <w:vAlign w:val="center"/>
                </w:tcPr>
                <w:p>
                  <w:pPr>
                    <w:pStyle w:val="68"/>
                    <w:rPr>
                      <w:color w:val="auto"/>
                    </w:rPr>
                  </w:pPr>
                  <w:r>
                    <w:rPr>
                      <w:rFonts w:hint="eastAsia"/>
                      <w:color w:val="auto"/>
                    </w:rPr>
                    <w:t>65</w:t>
                  </w:r>
                </w:p>
              </w:tc>
              <w:tc>
                <w:tcPr>
                  <w:tcW w:w="1093" w:type="dxa"/>
                  <w:tcBorders>
                    <w:tl2br w:val="nil"/>
                    <w:tr2bl w:val="nil"/>
                  </w:tcBorders>
                  <w:noWrap/>
                  <w:vAlign w:val="center"/>
                </w:tcPr>
                <w:p>
                  <w:pPr>
                    <w:jc w:val="center"/>
                    <w:rPr>
                      <w:szCs w:val="21"/>
                    </w:rPr>
                  </w:pPr>
                  <w:r>
                    <w:rPr>
                      <w:rFonts w:hint="eastAsia"/>
                      <w:szCs w:val="21"/>
                    </w:rPr>
                    <w:t>5</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32.0 </w:t>
                  </w:r>
                </w:p>
              </w:tc>
              <w:tc>
                <w:tcPr>
                  <w:tcW w:w="1228" w:type="dxa"/>
                  <w:tcBorders>
                    <w:tl2br w:val="nil"/>
                    <w:tr2bl w:val="nil"/>
                  </w:tcBorders>
                  <w:noWrap/>
                  <w:vAlign w:val="bottom"/>
                </w:tcPr>
                <w:p>
                  <w:pPr>
                    <w:widowControl/>
                    <w:jc w:val="center"/>
                    <w:textAlignment w:val="bottom"/>
                    <w:rPr>
                      <w:szCs w:val="21"/>
                    </w:rPr>
                  </w:pPr>
                  <w:r>
                    <w:rPr>
                      <w:color w:val="000000"/>
                      <w:kern w:val="0"/>
                      <w:szCs w:val="21"/>
                      <w:lang w:bidi="ar"/>
                    </w:rPr>
                    <w:t>50</w:t>
                  </w:r>
                </w:p>
              </w:tc>
              <w:tc>
                <w:tcPr>
                  <w:tcW w:w="1232" w:type="dxa"/>
                  <w:tcBorders>
                    <w:tl2br w:val="nil"/>
                    <w:tr2bl w:val="nil"/>
                  </w:tcBorders>
                  <w:noWrap/>
                  <w:vAlign w:val="bottom"/>
                </w:tcPr>
                <w:p>
                  <w:pPr>
                    <w:widowControl/>
                    <w:jc w:val="center"/>
                    <w:textAlignment w:val="bottom"/>
                    <w:rPr>
                      <w:szCs w:val="21"/>
                    </w:rPr>
                  </w:pPr>
                  <w:r>
                    <w:rPr>
                      <w:color w:val="000000"/>
                      <w:kern w:val="0"/>
                      <w:szCs w:val="21"/>
                      <w:lang w:bidi="ar"/>
                    </w:rPr>
                    <w:t>272</w:t>
                  </w:r>
                </w:p>
              </w:tc>
              <w:tc>
                <w:tcPr>
                  <w:tcW w:w="1283" w:type="dxa"/>
                  <w:tcBorders>
                    <w:tl2br w:val="nil"/>
                    <w:tr2bl w:val="nil"/>
                  </w:tcBorders>
                  <w:noWrap/>
                  <w:vAlign w:val="bottom"/>
                </w:tcPr>
                <w:p>
                  <w:pPr>
                    <w:widowControl/>
                    <w:jc w:val="center"/>
                    <w:textAlignment w:val="bottom"/>
                    <w:rPr>
                      <w:szCs w:val="21"/>
                    </w:rPr>
                  </w:pPr>
                  <w:r>
                    <w:rPr>
                      <w:color w:val="000000"/>
                      <w:kern w:val="0"/>
                      <w:szCs w:val="21"/>
                      <w:lang w:bidi="ar"/>
                    </w:rPr>
                    <w:t>257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空压机</w:t>
                  </w:r>
                </w:p>
              </w:tc>
              <w:tc>
                <w:tcPr>
                  <w:tcW w:w="1094" w:type="dxa"/>
                  <w:tcBorders>
                    <w:tl2br w:val="nil"/>
                    <w:tr2bl w:val="nil"/>
                  </w:tcBorders>
                  <w:noWrap/>
                  <w:vAlign w:val="center"/>
                </w:tcPr>
                <w:p>
                  <w:pPr>
                    <w:pStyle w:val="68"/>
                    <w:rPr>
                      <w:color w:val="auto"/>
                    </w:rPr>
                  </w:pPr>
                  <w:r>
                    <w:rPr>
                      <w:rFonts w:hint="eastAsia"/>
                      <w:color w:val="auto"/>
                    </w:rPr>
                    <w:t>65</w:t>
                  </w:r>
                </w:p>
              </w:tc>
              <w:tc>
                <w:tcPr>
                  <w:tcW w:w="1093" w:type="dxa"/>
                  <w:tcBorders>
                    <w:tl2br w:val="nil"/>
                    <w:tr2bl w:val="nil"/>
                  </w:tcBorders>
                  <w:noWrap/>
                  <w:vAlign w:val="center"/>
                </w:tcPr>
                <w:p>
                  <w:pPr>
                    <w:jc w:val="center"/>
                    <w:rPr>
                      <w:szCs w:val="21"/>
                    </w:rPr>
                  </w:pPr>
                  <w:r>
                    <w:rPr>
                      <w:rFonts w:hint="eastAsia"/>
                      <w:szCs w:val="21"/>
                    </w:rPr>
                    <w:t>1</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25.0 </w:t>
                  </w:r>
                </w:p>
              </w:tc>
              <w:tc>
                <w:tcPr>
                  <w:tcW w:w="1228" w:type="dxa"/>
                  <w:tcBorders>
                    <w:tl2br w:val="nil"/>
                    <w:tr2bl w:val="nil"/>
                  </w:tcBorders>
                  <w:noWrap/>
                  <w:vAlign w:val="bottom"/>
                </w:tcPr>
                <w:p>
                  <w:pPr>
                    <w:widowControl/>
                    <w:jc w:val="center"/>
                    <w:textAlignment w:val="bottom"/>
                    <w:rPr>
                      <w:szCs w:val="21"/>
                    </w:rPr>
                  </w:pPr>
                  <w:r>
                    <w:rPr>
                      <w:color w:val="000000"/>
                      <w:kern w:val="0"/>
                      <w:szCs w:val="21"/>
                      <w:lang w:bidi="ar"/>
                    </w:rPr>
                    <w:t>60</w:t>
                  </w:r>
                </w:p>
              </w:tc>
              <w:tc>
                <w:tcPr>
                  <w:tcW w:w="1232" w:type="dxa"/>
                  <w:tcBorders>
                    <w:tl2br w:val="nil"/>
                    <w:tr2bl w:val="nil"/>
                  </w:tcBorders>
                  <w:noWrap/>
                  <w:vAlign w:val="bottom"/>
                </w:tcPr>
                <w:p>
                  <w:pPr>
                    <w:widowControl/>
                    <w:jc w:val="center"/>
                    <w:textAlignment w:val="bottom"/>
                    <w:rPr>
                      <w:szCs w:val="21"/>
                    </w:rPr>
                  </w:pPr>
                  <w:r>
                    <w:rPr>
                      <w:color w:val="000000"/>
                      <w:kern w:val="0"/>
                      <w:szCs w:val="21"/>
                      <w:lang w:bidi="ar"/>
                    </w:rPr>
                    <w:t>272</w:t>
                  </w:r>
                </w:p>
              </w:tc>
              <w:tc>
                <w:tcPr>
                  <w:tcW w:w="1283" w:type="dxa"/>
                  <w:tcBorders>
                    <w:tl2br w:val="nil"/>
                    <w:tr2bl w:val="nil"/>
                  </w:tcBorders>
                  <w:noWrap/>
                  <w:vAlign w:val="bottom"/>
                </w:tcPr>
                <w:p>
                  <w:pPr>
                    <w:widowControl/>
                    <w:jc w:val="center"/>
                    <w:textAlignment w:val="bottom"/>
                    <w:rPr>
                      <w:szCs w:val="21"/>
                    </w:rPr>
                  </w:pPr>
                  <w:r>
                    <w:rPr>
                      <w:color w:val="000000"/>
                      <w:kern w:val="0"/>
                      <w:szCs w:val="21"/>
                      <w:lang w:bidi="ar"/>
                    </w:rPr>
                    <w:t>247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吹塑机</w:t>
                  </w:r>
                </w:p>
              </w:tc>
              <w:tc>
                <w:tcPr>
                  <w:tcW w:w="1094" w:type="dxa"/>
                  <w:tcBorders>
                    <w:tl2br w:val="nil"/>
                    <w:tr2bl w:val="nil"/>
                  </w:tcBorders>
                  <w:noWrap/>
                  <w:vAlign w:val="center"/>
                </w:tcPr>
                <w:p>
                  <w:pPr>
                    <w:pStyle w:val="68"/>
                    <w:rPr>
                      <w:color w:val="auto"/>
                    </w:rPr>
                  </w:pPr>
                  <w:r>
                    <w:rPr>
                      <w:rFonts w:hint="eastAsia"/>
                      <w:color w:val="auto"/>
                    </w:rPr>
                    <w:t>60</w:t>
                  </w:r>
                </w:p>
              </w:tc>
              <w:tc>
                <w:tcPr>
                  <w:tcW w:w="1093" w:type="dxa"/>
                  <w:tcBorders>
                    <w:tl2br w:val="nil"/>
                    <w:tr2bl w:val="nil"/>
                  </w:tcBorders>
                  <w:noWrap/>
                  <w:vAlign w:val="center"/>
                </w:tcPr>
                <w:p>
                  <w:pPr>
                    <w:jc w:val="center"/>
                    <w:rPr>
                      <w:szCs w:val="21"/>
                    </w:rPr>
                  </w:pPr>
                  <w:r>
                    <w:rPr>
                      <w:rFonts w:hint="eastAsia"/>
                      <w:szCs w:val="21"/>
                    </w:rPr>
                    <w:t>2</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22.2 </w:t>
                  </w:r>
                </w:p>
              </w:tc>
              <w:tc>
                <w:tcPr>
                  <w:tcW w:w="1228" w:type="dxa"/>
                  <w:tcBorders>
                    <w:tl2br w:val="nil"/>
                    <w:tr2bl w:val="nil"/>
                  </w:tcBorders>
                  <w:noWrap/>
                  <w:vAlign w:val="bottom"/>
                </w:tcPr>
                <w:p>
                  <w:pPr>
                    <w:widowControl/>
                    <w:jc w:val="center"/>
                    <w:textAlignment w:val="bottom"/>
                    <w:rPr>
                      <w:szCs w:val="21"/>
                    </w:rPr>
                  </w:pPr>
                  <w:r>
                    <w:rPr>
                      <w:color w:val="000000"/>
                      <w:kern w:val="0"/>
                      <w:szCs w:val="21"/>
                      <w:lang w:bidi="ar"/>
                    </w:rPr>
                    <w:t>50</w:t>
                  </w:r>
                </w:p>
              </w:tc>
              <w:tc>
                <w:tcPr>
                  <w:tcW w:w="1232" w:type="dxa"/>
                  <w:tcBorders>
                    <w:tl2br w:val="nil"/>
                    <w:tr2bl w:val="nil"/>
                  </w:tcBorders>
                  <w:noWrap/>
                  <w:vAlign w:val="bottom"/>
                </w:tcPr>
                <w:p>
                  <w:pPr>
                    <w:widowControl/>
                    <w:jc w:val="center"/>
                    <w:textAlignment w:val="bottom"/>
                    <w:rPr>
                      <w:szCs w:val="21"/>
                    </w:rPr>
                  </w:pPr>
                  <w:r>
                    <w:rPr>
                      <w:color w:val="000000"/>
                      <w:kern w:val="0"/>
                      <w:szCs w:val="21"/>
                      <w:lang w:bidi="ar"/>
                    </w:rPr>
                    <w:t>262</w:t>
                  </w:r>
                </w:p>
              </w:tc>
              <w:tc>
                <w:tcPr>
                  <w:tcW w:w="1283" w:type="dxa"/>
                  <w:tcBorders>
                    <w:tl2br w:val="nil"/>
                    <w:tr2bl w:val="nil"/>
                  </w:tcBorders>
                  <w:noWrap/>
                  <w:vAlign w:val="bottom"/>
                </w:tcPr>
                <w:p>
                  <w:pPr>
                    <w:widowControl/>
                    <w:jc w:val="center"/>
                    <w:textAlignment w:val="bottom"/>
                    <w:rPr>
                      <w:szCs w:val="21"/>
                    </w:rPr>
                  </w:pPr>
                  <w:r>
                    <w:rPr>
                      <w:color w:val="000000"/>
                      <w:kern w:val="0"/>
                      <w:szCs w:val="21"/>
                      <w:lang w:bidi="ar"/>
                    </w:rPr>
                    <w:t>257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炒锅</w:t>
                  </w:r>
                </w:p>
              </w:tc>
              <w:tc>
                <w:tcPr>
                  <w:tcW w:w="1094" w:type="dxa"/>
                  <w:tcBorders>
                    <w:tl2br w:val="nil"/>
                    <w:tr2bl w:val="nil"/>
                  </w:tcBorders>
                  <w:noWrap/>
                  <w:vAlign w:val="center"/>
                </w:tcPr>
                <w:p>
                  <w:pPr>
                    <w:pStyle w:val="68"/>
                    <w:rPr>
                      <w:color w:val="auto"/>
                    </w:rPr>
                  </w:pPr>
                  <w:r>
                    <w:rPr>
                      <w:rFonts w:hint="eastAsia"/>
                      <w:color w:val="auto"/>
                    </w:rPr>
                    <w:t>55</w:t>
                  </w:r>
                </w:p>
              </w:tc>
              <w:tc>
                <w:tcPr>
                  <w:tcW w:w="1093" w:type="dxa"/>
                  <w:tcBorders>
                    <w:tl2br w:val="nil"/>
                    <w:tr2bl w:val="nil"/>
                  </w:tcBorders>
                  <w:noWrap/>
                  <w:vAlign w:val="center"/>
                </w:tcPr>
                <w:p>
                  <w:pPr>
                    <w:jc w:val="center"/>
                    <w:rPr>
                      <w:szCs w:val="21"/>
                    </w:rPr>
                  </w:pPr>
                  <w:r>
                    <w:rPr>
                      <w:rFonts w:hint="eastAsia"/>
                      <w:szCs w:val="21"/>
                    </w:rPr>
                    <w:t>6</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22.0 </w:t>
                  </w:r>
                </w:p>
              </w:tc>
              <w:tc>
                <w:tcPr>
                  <w:tcW w:w="1228" w:type="dxa"/>
                  <w:tcBorders>
                    <w:tl2br w:val="nil"/>
                    <w:tr2bl w:val="nil"/>
                  </w:tcBorders>
                  <w:noWrap/>
                  <w:vAlign w:val="bottom"/>
                </w:tcPr>
                <w:p>
                  <w:pPr>
                    <w:widowControl/>
                    <w:jc w:val="center"/>
                    <w:textAlignment w:val="bottom"/>
                    <w:rPr>
                      <w:szCs w:val="21"/>
                    </w:rPr>
                  </w:pPr>
                  <w:r>
                    <w:rPr>
                      <w:color w:val="000000"/>
                      <w:kern w:val="0"/>
                      <w:szCs w:val="21"/>
                      <w:lang w:bidi="ar"/>
                    </w:rPr>
                    <w:t>70</w:t>
                  </w:r>
                </w:p>
              </w:tc>
              <w:tc>
                <w:tcPr>
                  <w:tcW w:w="1232" w:type="dxa"/>
                  <w:tcBorders>
                    <w:tl2br w:val="nil"/>
                    <w:tr2bl w:val="nil"/>
                  </w:tcBorders>
                  <w:noWrap/>
                  <w:vAlign w:val="bottom"/>
                </w:tcPr>
                <w:p>
                  <w:pPr>
                    <w:widowControl/>
                    <w:jc w:val="center"/>
                    <w:textAlignment w:val="bottom"/>
                    <w:rPr>
                      <w:szCs w:val="21"/>
                    </w:rPr>
                  </w:pPr>
                  <w:r>
                    <w:rPr>
                      <w:color w:val="000000"/>
                      <w:kern w:val="0"/>
                      <w:szCs w:val="21"/>
                      <w:lang w:bidi="ar"/>
                    </w:rPr>
                    <w:t>262</w:t>
                  </w:r>
                </w:p>
              </w:tc>
              <w:tc>
                <w:tcPr>
                  <w:tcW w:w="1283" w:type="dxa"/>
                  <w:tcBorders>
                    <w:tl2br w:val="nil"/>
                    <w:tr2bl w:val="nil"/>
                  </w:tcBorders>
                  <w:noWrap/>
                  <w:vAlign w:val="bottom"/>
                </w:tcPr>
                <w:p>
                  <w:pPr>
                    <w:widowControl/>
                    <w:jc w:val="center"/>
                    <w:textAlignment w:val="bottom"/>
                    <w:rPr>
                      <w:szCs w:val="21"/>
                    </w:rPr>
                  </w:pPr>
                  <w:r>
                    <w:rPr>
                      <w:color w:val="000000"/>
                      <w:kern w:val="0"/>
                      <w:szCs w:val="21"/>
                      <w:lang w:bidi="ar"/>
                    </w:rPr>
                    <w:t>237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十二切内包装线</w:t>
                  </w:r>
                </w:p>
              </w:tc>
              <w:tc>
                <w:tcPr>
                  <w:tcW w:w="1094" w:type="dxa"/>
                  <w:tcBorders>
                    <w:tl2br w:val="nil"/>
                    <w:tr2bl w:val="nil"/>
                  </w:tcBorders>
                  <w:noWrap/>
                  <w:vAlign w:val="center"/>
                </w:tcPr>
                <w:p>
                  <w:pPr>
                    <w:pStyle w:val="68"/>
                    <w:rPr>
                      <w:color w:val="auto"/>
                    </w:rPr>
                  </w:pPr>
                  <w:r>
                    <w:rPr>
                      <w:rFonts w:hint="eastAsia"/>
                      <w:color w:val="auto"/>
                    </w:rPr>
                    <w:t>55</w:t>
                  </w:r>
                </w:p>
              </w:tc>
              <w:tc>
                <w:tcPr>
                  <w:tcW w:w="1093" w:type="dxa"/>
                  <w:tcBorders>
                    <w:tl2br w:val="nil"/>
                    <w:tr2bl w:val="nil"/>
                  </w:tcBorders>
                  <w:noWrap/>
                  <w:vAlign w:val="center"/>
                </w:tcPr>
                <w:p>
                  <w:pPr>
                    <w:jc w:val="center"/>
                    <w:rPr>
                      <w:szCs w:val="21"/>
                    </w:rPr>
                  </w:pPr>
                  <w:r>
                    <w:rPr>
                      <w:rFonts w:hint="eastAsia"/>
                      <w:szCs w:val="21"/>
                    </w:rPr>
                    <w:t>17</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25.72 </w:t>
                  </w:r>
                </w:p>
              </w:tc>
              <w:tc>
                <w:tcPr>
                  <w:tcW w:w="1228" w:type="dxa"/>
                  <w:tcBorders>
                    <w:tl2br w:val="nil"/>
                    <w:tr2bl w:val="nil"/>
                  </w:tcBorders>
                  <w:noWrap/>
                  <w:vAlign w:val="center"/>
                </w:tcPr>
                <w:p>
                  <w:pPr>
                    <w:widowControl/>
                    <w:jc w:val="center"/>
                    <w:textAlignment w:val="center"/>
                    <w:rPr>
                      <w:szCs w:val="21"/>
                    </w:rPr>
                  </w:pPr>
                  <w:r>
                    <w:rPr>
                      <w:color w:val="000000"/>
                      <w:kern w:val="0"/>
                      <w:szCs w:val="21"/>
                      <w:lang w:bidi="ar"/>
                    </w:rPr>
                    <w:t>60</w:t>
                  </w:r>
                </w:p>
              </w:tc>
              <w:tc>
                <w:tcPr>
                  <w:tcW w:w="1232" w:type="dxa"/>
                  <w:tcBorders>
                    <w:tl2br w:val="nil"/>
                    <w:tr2bl w:val="nil"/>
                  </w:tcBorders>
                  <w:noWrap/>
                  <w:vAlign w:val="center"/>
                </w:tcPr>
                <w:p>
                  <w:pPr>
                    <w:widowControl/>
                    <w:jc w:val="center"/>
                    <w:textAlignment w:val="center"/>
                    <w:rPr>
                      <w:szCs w:val="21"/>
                    </w:rPr>
                  </w:pPr>
                  <w:r>
                    <w:rPr>
                      <w:color w:val="000000"/>
                      <w:kern w:val="0"/>
                      <w:szCs w:val="21"/>
                      <w:lang w:bidi="ar"/>
                    </w:rPr>
                    <w:t>252</w:t>
                  </w:r>
                </w:p>
              </w:tc>
              <w:tc>
                <w:tcPr>
                  <w:tcW w:w="1283" w:type="dxa"/>
                  <w:tcBorders>
                    <w:tl2br w:val="nil"/>
                    <w:tr2bl w:val="nil"/>
                  </w:tcBorders>
                  <w:noWrap/>
                  <w:vAlign w:val="center"/>
                </w:tcPr>
                <w:p>
                  <w:pPr>
                    <w:widowControl/>
                    <w:jc w:val="center"/>
                    <w:textAlignment w:val="center"/>
                    <w:rPr>
                      <w:szCs w:val="21"/>
                    </w:rPr>
                  </w:pPr>
                  <w:r>
                    <w:rPr>
                      <w:color w:val="000000"/>
                      <w:kern w:val="0"/>
                      <w:szCs w:val="21"/>
                      <w:lang w:bidi="ar"/>
                    </w:rPr>
                    <w:t>247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八切机</w:t>
                  </w:r>
                </w:p>
              </w:tc>
              <w:tc>
                <w:tcPr>
                  <w:tcW w:w="1094" w:type="dxa"/>
                  <w:tcBorders>
                    <w:tl2br w:val="nil"/>
                    <w:tr2bl w:val="nil"/>
                  </w:tcBorders>
                  <w:noWrap/>
                  <w:vAlign w:val="center"/>
                </w:tcPr>
                <w:p>
                  <w:pPr>
                    <w:pStyle w:val="68"/>
                    <w:rPr>
                      <w:color w:val="auto"/>
                    </w:rPr>
                  </w:pPr>
                  <w:r>
                    <w:rPr>
                      <w:rFonts w:hint="eastAsia"/>
                      <w:color w:val="auto"/>
                    </w:rPr>
                    <w:t>55</w:t>
                  </w:r>
                </w:p>
              </w:tc>
              <w:tc>
                <w:tcPr>
                  <w:tcW w:w="1093" w:type="dxa"/>
                  <w:tcBorders>
                    <w:tl2br w:val="nil"/>
                    <w:tr2bl w:val="nil"/>
                  </w:tcBorders>
                  <w:noWrap/>
                  <w:vAlign w:val="center"/>
                </w:tcPr>
                <w:p>
                  <w:pPr>
                    <w:jc w:val="center"/>
                    <w:rPr>
                      <w:szCs w:val="21"/>
                    </w:rPr>
                  </w:pPr>
                  <w:r>
                    <w:rPr>
                      <w:rFonts w:hint="eastAsia"/>
                      <w:szCs w:val="21"/>
                    </w:rPr>
                    <w:t>9</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22.96 </w:t>
                  </w:r>
                </w:p>
              </w:tc>
              <w:tc>
                <w:tcPr>
                  <w:tcW w:w="1228" w:type="dxa"/>
                  <w:tcBorders>
                    <w:tl2br w:val="nil"/>
                    <w:tr2bl w:val="nil"/>
                  </w:tcBorders>
                  <w:noWrap/>
                  <w:vAlign w:val="center"/>
                </w:tcPr>
                <w:p>
                  <w:pPr>
                    <w:widowControl/>
                    <w:jc w:val="center"/>
                    <w:textAlignment w:val="center"/>
                    <w:rPr>
                      <w:szCs w:val="21"/>
                    </w:rPr>
                  </w:pPr>
                  <w:r>
                    <w:rPr>
                      <w:color w:val="000000"/>
                      <w:kern w:val="0"/>
                      <w:szCs w:val="21"/>
                      <w:lang w:bidi="ar"/>
                    </w:rPr>
                    <w:t>65</w:t>
                  </w:r>
                </w:p>
              </w:tc>
              <w:tc>
                <w:tcPr>
                  <w:tcW w:w="1232" w:type="dxa"/>
                  <w:tcBorders>
                    <w:tl2br w:val="nil"/>
                    <w:tr2bl w:val="nil"/>
                  </w:tcBorders>
                  <w:noWrap/>
                  <w:vAlign w:val="center"/>
                </w:tcPr>
                <w:p>
                  <w:pPr>
                    <w:widowControl/>
                    <w:jc w:val="center"/>
                    <w:textAlignment w:val="center"/>
                    <w:rPr>
                      <w:szCs w:val="21"/>
                    </w:rPr>
                  </w:pPr>
                  <w:r>
                    <w:rPr>
                      <w:color w:val="000000"/>
                      <w:kern w:val="0"/>
                      <w:szCs w:val="21"/>
                      <w:lang w:bidi="ar"/>
                    </w:rPr>
                    <w:t>242</w:t>
                  </w:r>
                </w:p>
              </w:tc>
              <w:tc>
                <w:tcPr>
                  <w:tcW w:w="1283" w:type="dxa"/>
                  <w:tcBorders>
                    <w:tl2br w:val="nil"/>
                    <w:tr2bl w:val="nil"/>
                  </w:tcBorders>
                  <w:noWrap/>
                  <w:vAlign w:val="center"/>
                </w:tcPr>
                <w:p>
                  <w:pPr>
                    <w:widowControl/>
                    <w:jc w:val="center"/>
                    <w:textAlignment w:val="center"/>
                    <w:rPr>
                      <w:szCs w:val="21"/>
                    </w:rPr>
                  </w:pPr>
                  <w:r>
                    <w:rPr>
                      <w:color w:val="000000"/>
                      <w:kern w:val="0"/>
                      <w:szCs w:val="21"/>
                      <w:lang w:bidi="ar"/>
                    </w:rPr>
                    <w:t>242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包装机</w:t>
                  </w:r>
                </w:p>
              </w:tc>
              <w:tc>
                <w:tcPr>
                  <w:tcW w:w="1094" w:type="dxa"/>
                  <w:tcBorders>
                    <w:tl2br w:val="nil"/>
                    <w:tr2bl w:val="nil"/>
                  </w:tcBorders>
                  <w:noWrap/>
                  <w:vAlign w:val="center"/>
                </w:tcPr>
                <w:p>
                  <w:pPr>
                    <w:pStyle w:val="68"/>
                    <w:rPr>
                      <w:color w:val="auto"/>
                    </w:rPr>
                  </w:pPr>
                  <w:r>
                    <w:rPr>
                      <w:rFonts w:hint="eastAsia"/>
                      <w:color w:val="auto"/>
                    </w:rPr>
                    <w:t>50</w:t>
                  </w:r>
                </w:p>
              </w:tc>
              <w:tc>
                <w:tcPr>
                  <w:tcW w:w="1093" w:type="dxa"/>
                  <w:tcBorders>
                    <w:tl2br w:val="nil"/>
                    <w:tr2bl w:val="nil"/>
                  </w:tcBorders>
                  <w:noWrap/>
                  <w:vAlign w:val="center"/>
                </w:tcPr>
                <w:p>
                  <w:pPr>
                    <w:jc w:val="center"/>
                    <w:rPr>
                      <w:szCs w:val="21"/>
                    </w:rPr>
                  </w:pPr>
                  <w:r>
                    <w:rPr>
                      <w:rFonts w:hint="eastAsia"/>
                      <w:szCs w:val="21"/>
                    </w:rPr>
                    <w:t>19</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24.73 </w:t>
                  </w:r>
                </w:p>
              </w:tc>
              <w:tc>
                <w:tcPr>
                  <w:tcW w:w="1228" w:type="dxa"/>
                  <w:tcBorders>
                    <w:tl2br w:val="nil"/>
                    <w:tr2bl w:val="nil"/>
                  </w:tcBorders>
                  <w:noWrap/>
                  <w:vAlign w:val="center"/>
                </w:tcPr>
                <w:p>
                  <w:pPr>
                    <w:widowControl/>
                    <w:jc w:val="center"/>
                    <w:textAlignment w:val="center"/>
                    <w:rPr>
                      <w:szCs w:val="21"/>
                    </w:rPr>
                  </w:pPr>
                  <w:r>
                    <w:rPr>
                      <w:color w:val="000000"/>
                      <w:kern w:val="0"/>
                      <w:szCs w:val="21"/>
                      <w:lang w:bidi="ar"/>
                    </w:rPr>
                    <w:t>40</w:t>
                  </w:r>
                </w:p>
              </w:tc>
              <w:tc>
                <w:tcPr>
                  <w:tcW w:w="1232" w:type="dxa"/>
                  <w:tcBorders>
                    <w:tl2br w:val="nil"/>
                    <w:tr2bl w:val="nil"/>
                  </w:tcBorders>
                  <w:noWrap/>
                  <w:vAlign w:val="center"/>
                </w:tcPr>
                <w:p>
                  <w:pPr>
                    <w:widowControl/>
                    <w:jc w:val="center"/>
                    <w:textAlignment w:val="center"/>
                    <w:rPr>
                      <w:szCs w:val="21"/>
                    </w:rPr>
                  </w:pPr>
                  <w:r>
                    <w:rPr>
                      <w:color w:val="000000"/>
                      <w:kern w:val="0"/>
                      <w:szCs w:val="21"/>
                      <w:lang w:bidi="ar"/>
                    </w:rPr>
                    <w:t>292</w:t>
                  </w:r>
                </w:p>
              </w:tc>
              <w:tc>
                <w:tcPr>
                  <w:tcW w:w="1283" w:type="dxa"/>
                  <w:tcBorders>
                    <w:tl2br w:val="nil"/>
                    <w:tr2bl w:val="nil"/>
                  </w:tcBorders>
                  <w:noWrap/>
                  <w:vAlign w:val="center"/>
                </w:tcPr>
                <w:p>
                  <w:pPr>
                    <w:widowControl/>
                    <w:jc w:val="center"/>
                    <w:textAlignment w:val="center"/>
                    <w:rPr>
                      <w:szCs w:val="21"/>
                    </w:rPr>
                  </w:pPr>
                  <w:r>
                    <w:rPr>
                      <w:color w:val="000000"/>
                      <w:kern w:val="0"/>
                      <w:szCs w:val="21"/>
                      <w:lang w:bidi="ar"/>
                    </w:rPr>
                    <w:t>267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jc w:val="center"/>
                    <w:rPr>
                      <w:szCs w:val="21"/>
                    </w:rPr>
                  </w:pPr>
                  <w:r>
                    <w:rPr>
                      <w:rFonts w:hint="eastAsia"/>
                      <w:szCs w:val="21"/>
                    </w:rPr>
                    <w:t>封箱机</w:t>
                  </w:r>
                </w:p>
              </w:tc>
              <w:tc>
                <w:tcPr>
                  <w:tcW w:w="1094" w:type="dxa"/>
                  <w:tcBorders>
                    <w:tl2br w:val="nil"/>
                    <w:tr2bl w:val="nil"/>
                  </w:tcBorders>
                  <w:noWrap/>
                  <w:vAlign w:val="center"/>
                </w:tcPr>
                <w:p>
                  <w:pPr>
                    <w:pStyle w:val="68"/>
                    <w:rPr>
                      <w:color w:val="auto"/>
                    </w:rPr>
                  </w:pPr>
                  <w:r>
                    <w:rPr>
                      <w:rFonts w:hint="eastAsia"/>
                      <w:color w:val="auto"/>
                    </w:rPr>
                    <w:t>50</w:t>
                  </w:r>
                </w:p>
              </w:tc>
              <w:tc>
                <w:tcPr>
                  <w:tcW w:w="1093" w:type="dxa"/>
                  <w:tcBorders>
                    <w:tl2br w:val="nil"/>
                    <w:tr2bl w:val="nil"/>
                  </w:tcBorders>
                  <w:noWrap/>
                  <w:vAlign w:val="center"/>
                </w:tcPr>
                <w:p>
                  <w:pPr>
                    <w:jc w:val="center"/>
                    <w:rPr>
                      <w:szCs w:val="21"/>
                    </w:rPr>
                  </w:pPr>
                  <w:r>
                    <w:rPr>
                      <w:rFonts w:hint="eastAsia"/>
                      <w:szCs w:val="21"/>
                    </w:rPr>
                    <w:t>6</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19.72 </w:t>
                  </w:r>
                </w:p>
              </w:tc>
              <w:tc>
                <w:tcPr>
                  <w:tcW w:w="1228" w:type="dxa"/>
                  <w:tcBorders>
                    <w:tl2br w:val="nil"/>
                    <w:tr2bl w:val="nil"/>
                  </w:tcBorders>
                  <w:noWrap/>
                  <w:vAlign w:val="center"/>
                </w:tcPr>
                <w:p>
                  <w:pPr>
                    <w:widowControl/>
                    <w:jc w:val="center"/>
                    <w:textAlignment w:val="center"/>
                    <w:rPr>
                      <w:szCs w:val="21"/>
                    </w:rPr>
                  </w:pPr>
                  <w:r>
                    <w:rPr>
                      <w:color w:val="000000"/>
                      <w:kern w:val="0"/>
                      <w:szCs w:val="21"/>
                      <w:lang w:bidi="ar"/>
                    </w:rPr>
                    <w:t>30</w:t>
                  </w:r>
                </w:p>
              </w:tc>
              <w:tc>
                <w:tcPr>
                  <w:tcW w:w="1232" w:type="dxa"/>
                  <w:tcBorders>
                    <w:tl2br w:val="nil"/>
                    <w:tr2bl w:val="nil"/>
                  </w:tcBorders>
                  <w:noWrap/>
                  <w:vAlign w:val="center"/>
                </w:tcPr>
                <w:p>
                  <w:pPr>
                    <w:widowControl/>
                    <w:jc w:val="center"/>
                    <w:textAlignment w:val="center"/>
                    <w:rPr>
                      <w:szCs w:val="21"/>
                    </w:rPr>
                  </w:pPr>
                  <w:r>
                    <w:rPr>
                      <w:color w:val="000000"/>
                      <w:kern w:val="0"/>
                      <w:szCs w:val="21"/>
                      <w:lang w:bidi="ar"/>
                    </w:rPr>
                    <w:t>292</w:t>
                  </w:r>
                </w:p>
              </w:tc>
              <w:tc>
                <w:tcPr>
                  <w:tcW w:w="1283" w:type="dxa"/>
                  <w:tcBorders>
                    <w:tl2br w:val="nil"/>
                    <w:tr2bl w:val="nil"/>
                  </w:tcBorders>
                  <w:noWrap/>
                  <w:vAlign w:val="center"/>
                </w:tcPr>
                <w:p>
                  <w:pPr>
                    <w:widowControl/>
                    <w:jc w:val="center"/>
                    <w:textAlignment w:val="center"/>
                    <w:rPr>
                      <w:szCs w:val="21"/>
                    </w:rPr>
                  </w:pPr>
                  <w:r>
                    <w:rPr>
                      <w:color w:val="000000"/>
                      <w:kern w:val="0"/>
                      <w:szCs w:val="21"/>
                      <w:lang w:bidi="ar"/>
                    </w:rPr>
                    <w:t>277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pStyle w:val="68"/>
                    <w:rPr>
                      <w:color w:val="auto"/>
                    </w:rPr>
                  </w:pPr>
                  <w:r>
                    <w:rPr>
                      <w:rFonts w:hint="eastAsia"/>
                      <w:color w:val="auto"/>
                    </w:rPr>
                    <w:t>风机</w:t>
                  </w:r>
                </w:p>
              </w:tc>
              <w:tc>
                <w:tcPr>
                  <w:tcW w:w="1094" w:type="dxa"/>
                  <w:tcBorders>
                    <w:tl2br w:val="nil"/>
                    <w:tr2bl w:val="nil"/>
                  </w:tcBorders>
                  <w:noWrap/>
                  <w:vAlign w:val="center"/>
                </w:tcPr>
                <w:p>
                  <w:pPr>
                    <w:pStyle w:val="68"/>
                    <w:rPr>
                      <w:color w:val="auto"/>
                    </w:rPr>
                  </w:pPr>
                  <w:r>
                    <w:rPr>
                      <w:rFonts w:hint="eastAsia"/>
                      <w:color w:val="auto"/>
                    </w:rPr>
                    <w:t>70</w:t>
                  </w:r>
                </w:p>
              </w:tc>
              <w:tc>
                <w:tcPr>
                  <w:tcW w:w="1093" w:type="dxa"/>
                  <w:tcBorders>
                    <w:tl2br w:val="nil"/>
                    <w:tr2bl w:val="nil"/>
                  </w:tcBorders>
                  <w:noWrap/>
                  <w:vAlign w:val="center"/>
                </w:tcPr>
                <w:p>
                  <w:pPr>
                    <w:pStyle w:val="68"/>
                    <w:rPr>
                      <w:color w:val="auto"/>
                    </w:rPr>
                  </w:pPr>
                  <w:r>
                    <w:rPr>
                      <w:rFonts w:hint="eastAsia"/>
                      <w:color w:val="auto"/>
                    </w:rPr>
                    <w:t>2</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 xml:space="preserve">37.45 </w:t>
                  </w:r>
                </w:p>
              </w:tc>
              <w:tc>
                <w:tcPr>
                  <w:tcW w:w="1228" w:type="dxa"/>
                  <w:tcBorders>
                    <w:tl2br w:val="nil"/>
                    <w:tr2bl w:val="nil"/>
                  </w:tcBorders>
                  <w:noWrap/>
                  <w:vAlign w:val="center"/>
                </w:tcPr>
                <w:p>
                  <w:pPr>
                    <w:widowControl/>
                    <w:jc w:val="center"/>
                    <w:textAlignment w:val="center"/>
                    <w:rPr>
                      <w:szCs w:val="21"/>
                    </w:rPr>
                  </w:pPr>
                  <w:r>
                    <w:rPr>
                      <w:color w:val="000000"/>
                      <w:kern w:val="0"/>
                      <w:szCs w:val="21"/>
                      <w:lang w:bidi="ar"/>
                    </w:rPr>
                    <w:t>55</w:t>
                  </w:r>
                </w:p>
              </w:tc>
              <w:tc>
                <w:tcPr>
                  <w:tcW w:w="1232" w:type="dxa"/>
                  <w:tcBorders>
                    <w:tl2br w:val="nil"/>
                    <w:tr2bl w:val="nil"/>
                  </w:tcBorders>
                  <w:noWrap/>
                  <w:vAlign w:val="center"/>
                </w:tcPr>
                <w:p>
                  <w:pPr>
                    <w:widowControl/>
                    <w:jc w:val="center"/>
                    <w:textAlignment w:val="center"/>
                    <w:rPr>
                      <w:szCs w:val="21"/>
                    </w:rPr>
                  </w:pPr>
                  <w:r>
                    <w:rPr>
                      <w:color w:val="000000"/>
                      <w:kern w:val="0"/>
                      <w:szCs w:val="21"/>
                      <w:lang w:bidi="ar"/>
                    </w:rPr>
                    <w:t>312</w:t>
                  </w:r>
                </w:p>
              </w:tc>
              <w:tc>
                <w:tcPr>
                  <w:tcW w:w="1283" w:type="dxa"/>
                  <w:tcBorders>
                    <w:tl2br w:val="nil"/>
                    <w:tr2bl w:val="nil"/>
                  </w:tcBorders>
                  <w:noWrap/>
                  <w:vAlign w:val="center"/>
                </w:tcPr>
                <w:p>
                  <w:pPr>
                    <w:widowControl/>
                    <w:jc w:val="center"/>
                    <w:textAlignment w:val="center"/>
                    <w:rPr>
                      <w:szCs w:val="21"/>
                    </w:rPr>
                  </w:pPr>
                  <w:r>
                    <w:rPr>
                      <w:color w:val="000000"/>
                      <w:kern w:val="0"/>
                      <w:szCs w:val="21"/>
                      <w:lang w:bidi="ar"/>
                    </w:rPr>
                    <w:t>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1909" w:type="dxa"/>
                  <w:tcBorders>
                    <w:tl2br w:val="nil"/>
                    <w:tr2bl w:val="nil"/>
                  </w:tcBorders>
                  <w:noWrap/>
                  <w:vAlign w:val="center"/>
                </w:tcPr>
                <w:p>
                  <w:pPr>
                    <w:pStyle w:val="68"/>
                    <w:rPr>
                      <w:color w:val="auto"/>
                    </w:rPr>
                  </w:pPr>
                  <w:r>
                    <w:rPr>
                      <w:color w:val="auto"/>
                    </w:rPr>
                    <w:t>本项目影响值</w:t>
                  </w:r>
                </w:p>
              </w:tc>
              <w:tc>
                <w:tcPr>
                  <w:tcW w:w="1094" w:type="dxa"/>
                  <w:tcBorders>
                    <w:tl2br w:val="nil"/>
                    <w:tr2bl w:val="nil"/>
                  </w:tcBorders>
                  <w:noWrap/>
                  <w:vAlign w:val="center"/>
                </w:tcPr>
                <w:p>
                  <w:pPr>
                    <w:pStyle w:val="68"/>
                    <w:rPr>
                      <w:color w:val="auto"/>
                    </w:rPr>
                  </w:pPr>
                  <w:r>
                    <w:rPr>
                      <w:color w:val="auto"/>
                    </w:rPr>
                    <w:t>-</w:t>
                  </w:r>
                </w:p>
              </w:tc>
              <w:tc>
                <w:tcPr>
                  <w:tcW w:w="1093" w:type="dxa"/>
                  <w:tcBorders>
                    <w:tl2br w:val="nil"/>
                    <w:tr2bl w:val="nil"/>
                  </w:tcBorders>
                  <w:noWrap/>
                  <w:vAlign w:val="center"/>
                </w:tcPr>
                <w:p>
                  <w:pPr>
                    <w:pStyle w:val="68"/>
                    <w:rPr>
                      <w:color w:val="auto"/>
                    </w:rPr>
                  </w:pPr>
                  <w:r>
                    <w:rPr>
                      <w:color w:val="auto"/>
                    </w:rPr>
                    <w:t>-</w:t>
                  </w:r>
                </w:p>
              </w:tc>
              <w:tc>
                <w:tcPr>
                  <w:tcW w:w="1231" w:type="dxa"/>
                  <w:tcBorders>
                    <w:tl2br w:val="nil"/>
                    <w:tr2bl w:val="nil"/>
                  </w:tcBorders>
                  <w:noWrap/>
                  <w:vAlign w:val="center"/>
                </w:tcPr>
                <w:p>
                  <w:pPr>
                    <w:widowControl/>
                    <w:jc w:val="center"/>
                    <w:textAlignment w:val="center"/>
                    <w:rPr>
                      <w:szCs w:val="21"/>
                    </w:rPr>
                  </w:pPr>
                  <w:r>
                    <w:rPr>
                      <w:color w:val="000000"/>
                      <w:kern w:val="0"/>
                      <w:szCs w:val="21"/>
                      <w:lang w:bidi="ar"/>
                    </w:rPr>
                    <w:t>35.23</w:t>
                  </w:r>
                </w:p>
              </w:tc>
              <w:tc>
                <w:tcPr>
                  <w:tcW w:w="1228" w:type="dxa"/>
                  <w:tcBorders>
                    <w:tl2br w:val="nil"/>
                    <w:tr2bl w:val="nil"/>
                  </w:tcBorders>
                  <w:noWrap/>
                  <w:vAlign w:val="center"/>
                </w:tcPr>
                <w:p>
                  <w:pPr>
                    <w:widowControl/>
                    <w:jc w:val="center"/>
                    <w:textAlignment w:val="center"/>
                    <w:rPr>
                      <w:szCs w:val="21"/>
                    </w:rPr>
                  </w:pPr>
                  <w:r>
                    <w:rPr>
                      <w:color w:val="000000"/>
                      <w:kern w:val="0"/>
                      <w:szCs w:val="21"/>
                      <w:lang w:bidi="ar"/>
                    </w:rPr>
                    <w:t>26.00</w:t>
                  </w:r>
                </w:p>
              </w:tc>
              <w:tc>
                <w:tcPr>
                  <w:tcW w:w="1232" w:type="dxa"/>
                  <w:tcBorders>
                    <w:tl2br w:val="nil"/>
                    <w:tr2bl w:val="nil"/>
                  </w:tcBorders>
                  <w:noWrap/>
                  <w:vAlign w:val="center"/>
                </w:tcPr>
                <w:p>
                  <w:pPr>
                    <w:widowControl/>
                    <w:jc w:val="center"/>
                    <w:textAlignment w:val="center"/>
                    <w:rPr>
                      <w:szCs w:val="21"/>
                    </w:rPr>
                  </w:pPr>
                  <w:r>
                    <w:rPr>
                      <w:color w:val="000000"/>
                      <w:kern w:val="0"/>
                      <w:szCs w:val="21"/>
                      <w:lang w:bidi="ar"/>
                    </w:rPr>
                    <w:t>40.14</w:t>
                  </w:r>
                </w:p>
              </w:tc>
              <w:tc>
                <w:tcPr>
                  <w:tcW w:w="1283" w:type="dxa"/>
                  <w:tcBorders>
                    <w:tl2br w:val="nil"/>
                    <w:tr2bl w:val="nil"/>
                  </w:tcBorders>
                  <w:noWrap/>
                  <w:vAlign w:val="center"/>
                </w:tcPr>
                <w:p>
                  <w:pPr>
                    <w:widowControl/>
                    <w:jc w:val="center"/>
                    <w:textAlignment w:val="center"/>
                    <w:rPr>
                      <w:szCs w:val="21"/>
                    </w:rPr>
                  </w:pPr>
                  <w:r>
                    <w:rPr>
                      <w:color w:val="000000"/>
                      <w:kern w:val="0"/>
                      <w:szCs w:val="21"/>
                      <w:lang w:bidi="ar"/>
                    </w:rPr>
                    <w:t>26.75</w:t>
                  </w:r>
                </w:p>
              </w:tc>
            </w:tr>
          </w:tbl>
          <w:p>
            <w:pPr>
              <w:spacing w:line="500" w:lineRule="exact"/>
              <w:ind w:firstLine="480" w:firstLineChars="200"/>
              <w:rPr>
                <w:sz w:val="24"/>
              </w:rPr>
            </w:pPr>
            <w:r>
              <w:rPr>
                <w:sz w:val="24"/>
              </w:rPr>
              <w:t>由上表预测结果可知，项目各厂界噪声满足《工业企业厂界环境噪声排放标准》（GB12348-2008）3类标准要求，因此本项目噪声可以做到达标排放。对周边敏感目标影响较小。所以项目投产后，设备噪声对区域声环境影响较小。</w:t>
            </w:r>
          </w:p>
          <w:p>
            <w:pPr>
              <w:adjustRightInd w:val="0"/>
              <w:snapToGrid w:val="0"/>
              <w:spacing w:line="360" w:lineRule="auto"/>
              <w:ind w:firstLine="482" w:firstLineChars="200"/>
              <w:rPr>
                <w:b/>
                <w:bCs/>
                <w:sz w:val="24"/>
              </w:rPr>
            </w:pPr>
            <w:r>
              <w:rPr>
                <w:rFonts w:hint="eastAsia"/>
                <w:b/>
                <w:bCs/>
                <w:sz w:val="24"/>
              </w:rPr>
              <w:t>3、噪声监测计划一览表</w:t>
            </w:r>
          </w:p>
          <w:p>
            <w:pPr>
              <w:adjustRightInd w:val="0"/>
              <w:snapToGrid w:val="0"/>
              <w:spacing w:line="360" w:lineRule="auto"/>
              <w:ind w:firstLine="482" w:firstLineChars="200"/>
              <w:jc w:val="center"/>
              <w:rPr>
                <w:b/>
                <w:bCs/>
                <w:sz w:val="24"/>
              </w:rPr>
            </w:pPr>
            <w:r>
              <w:rPr>
                <w:rFonts w:hint="eastAsia"/>
                <w:b/>
                <w:bCs/>
                <w:sz w:val="24"/>
              </w:rPr>
              <w:t>表4-14 噪声监测计划一览表</w:t>
            </w:r>
          </w:p>
          <w:tbl>
            <w:tblPr>
              <w:tblStyle w:val="22"/>
              <w:tblW w:w="822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91"/>
              <w:gridCol w:w="1601"/>
              <w:gridCol w:w="1067"/>
              <w:gridCol w:w="1468"/>
              <w:gridCol w:w="289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98" w:hRule="atLeast"/>
                <w:tblHeader/>
                <w:jc w:val="center"/>
              </w:trPr>
              <w:tc>
                <w:tcPr>
                  <w:tcW w:w="724" w:type="pct"/>
                  <w:vAlign w:val="center"/>
                </w:tcPr>
                <w:p>
                  <w:pPr>
                    <w:pStyle w:val="68"/>
                    <w:rPr>
                      <w:b/>
                      <w:bCs w:val="0"/>
                      <w:color w:val="auto"/>
                    </w:rPr>
                  </w:pPr>
                  <w:r>
                    <w:rPr>
                      <w:b/>
                      <w:bCs w:val="0"/>
                      <w:color w:val="auto"/>
                    </w:rPr>
                    <w:t>监测点位</w:t>
                  </w:r>
                </w:p>
              </w:tc>
              <w:tc>
                <w:tcPr>
                  <w:tcW w:w="974" w:type="pct"/>
                  <w:vAlign w:val="center"/>
                </w:tcPr>
                <w:p>
                  <w:pPr>
                    <w:pStyle w:val="68"/>
                    <w:rPr>
                      <w:b/>
                      <w:bCs w:val="0"/>
                      <w:color w:val="auto"/>
                    </w:rPr>
                  </w:pPr>
                  <w:r>
                    <w:rPr>
                      <w:b/>
                      <w:bCs w:val="0"/>
                      <w:color w:val="auto"/>
                    </w:rPr>
                    <w:t>监测因子</w:t>
                  </w:r>
                </w:p>
              </w:tc>
              <w:tc>
                <w:tcPr>
                  <w:tcW w:w="649" w:type="pct"/>
                  <w:vAlign w:val="center"/>
                </w:tcPr>
                <w:p>
                  <w:pPr>
                    <w:pStyle w:val="68"/>
                    <w:rPr>
                      <w:b/>
                      <w:bCs w:val="0"/>
                      <w:color w:val="auto"/>
                    </w:rPr>
                  </w:pPr>
                  <w:r>
                    <w:rPr>
                      <w:b/>
                      <w:bCs w:val="0"/>
                      <w:color w:val="auto"/>
                    </w:rPr>
                    <w:t>监测点数</w:t>
                  </w:r>
                </w:p>
              </w:tc>
              <w:tc>
                <w:tcPr>
                  <w:tcW w:w="893" w:type="pct"/>
                  <w:vAlign w:val="center"/>
                </w:tcPr>
                <w:p>
                  <w:pPr>
                    <w:pStyle w:val="68"/>
                    <w:rPr>
                      <w:b/>
                      <w:bCs w:val="0"/>
                      <w:color w:val="auto"/>
                    </w:rPr>
                  </w:pPr>
                  <w:r>
                    <w:rPr>
                      <w:b/>
                      <w:bCs w:val="0"/>
                      <w:color w:val="auto"/>
                    </w:rPr>
                    <w:t>监测频率</w:t>
                  </w:r>
                </w:p>
              </w:tc>
              <w:tc>
                <w:tcPr>
                  <w:tcW w:w="1760" w:type="pct"/>
                  <w:vAlign w:val="center"/>
                </w:tcPr>
                <w:p>
                  <w:pPr>
                    <w:pStyle w:val="68"/>
                    <w:rPr>
                      <w:b/>
                      <w:bCs w:val="0"/>
                      <w:color w:val="auto"/>
                    </w:rPr>
                  </w:pPr>
                  <w:r>
                    <w:rPr>
                      <w:b/>
                      <w:bCs w:val="0"/>
                      <w:color w:val="auto"/>
                    </w:rPr>
                    <w:t>执行标准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8" w:hRule="atLeast"/>
                <w:tblHeader/>
                <w:jc w:val="center"/>
              </w:trPr>
              <w:tc>
                <w:tcPr>
                  <w:tcW w:w="724" w:type="pct"/>
                  <w:vAlign w:val="center"/>
                </w:tcPr>
                <w:p>
                  <w:pPr>
                    <w:pStyle w:val="68"/>
                    <w:rPr>
                      <w:color w:val="auto"/>
                    </w:rPr>
                  </w:pPr>
                  <w:r>
                    <w:rPr>
                      <w:color w:val="auto"/>
                    </w:rPr>
                    <w:t>厂界外1m</w:t>
                  </w:r>
                </w:p>
              </w:tc>
              <w:tc>
                <w:tcPr>
                  <w:tcW w:w="974" w:type="pct"/>
                  <w:vAlign w:val="center"/>
                </w:tcPr>
                <w:p>
                  <w:pPr>
                    <w:pStyle w:val="68"/>
                    <w:rPr>
                      <w:color w:val="auto"/>
                    </w:rPr>
                  </w:pPr>
                  <w:r>
                    <w:rPr>
                      <w:color w:val="auto"/>
                    </w:rPr>
                    <w:t>等效连续A声级</w:t>
                  </w:r>
                </w:p>
              </w:tc>
              <w:tc>
                <w:tcPr>
                  <w:tcW w:w="649" w:type="pct"/>
                  <w:vAlign w:val="center"/>
                </w:tcPr>
                <w:p>
                  <w:pPr>
                    <w:pStyle w:val="68"/>
                    <w:rPr>
                      <w:color w:val="auto"/>
                    </w:rPr>
                  </w:pPr>
                  <w:r>
                    <w:rPr>
                      <w:color w:val="auto"/>
                    </w:rPr>
                    <w:t>4</w:t>
                  </w:r>
                </w:p>
              </w:tc>
              <w:tc>
                <w:tcPr>
                  <w:tcW w:w="893" w:type="pct"/>
                  <w:vAlign w:val="center"/>
                </w:tcPr>
                <w:p>
                  <w:pPr>
                    <w:pStyle w:val="68"/>
                    <w:rPr>
                      <w:color w:val="auto"/>
                    </w:rPr>
                  </w:pPr>
                  <w:r>
                    <w:rPr>
                      <w:color w:val="auto"/>
                    </w:rPr>
                    <w:t>每季度监测1次（昼间）</w:t>
                  </w:r>
                </w:p>
              </w:tc>
              <w:tc>
                <w:tcPr>
                  <w:tcW w:w="1760" w:type="pct"/>
                  <w:vAlign w:val="center"/>
                </w:tcPr>
                <w:p>
                  <w:pPr>
                    <w:pStyle w:val="68"/>
                    <w:rPr>
                      <w:color w:val="auto"/>
                    </w:rPr>
                  </w:pPr>
                  <w:r>
                    <w:rPr>
                      <w:color w:val="auto"/>
                    </w:rPr>
                    <w:t>《工业企业厂界环境噪声排放标准》（GB12348-2008）3类</w:t>
                  </w:r>
                </w:p>
              </w:tc>
            </w:tr>
          </w:tbl>
          <w:p>
            <w:pPr>
              <w:pStyle w:val="46"/>
              <w:snapToGrid w:val="0"/>
              <w:spacing w:before="120" w:beforeLines="50" w:line="360" w:lineRule="auto"/>
              <w:ind w:firstLine="482" w:firstLineChars="200"/>
              <w:rPr>
                <w:b/>
                <w:bCs/>
                <w:sz w:val="24"/>
                <w:lang w:eastAsia="zh-CN"/>
              </w:rPr>
            </w:pPr>
            <w:r>
              <w:rPr>
                <w:rFonts w:hint="eastAsia"/>
                <w:b/>
                <w:bCs/>
                <w:sz w:val="24"/>
                <w:lang w:eastAsia="zh-CN"/>
              </w:rPr>
              <w:t>四、固体废物</w:t>
            </w:r>
          </w:p>
          <w:p>
            <w:pPr>
              <w:pStyle w:val="46"/>
              <w:snapToGrid w:val="0"/>
              <w:spacing w:line="360" w:lineRule="auto"/>
              <w:ind w:firstLine="480" w:firstLineChars="200"/>
              <w:rPr>
                <w:sz w:val="24"/>
                <w:lang w:eastAsia="zh-CN"/>
              </w:rPr>
            </w:pPr>
            <w:r>
              <w:rPr>
                <w:sz w:val="24"/>
                <w:lang w:eastAsia="zh-CN"/>
              </w:rPr>
              <w:t>本项目产生的固体废物主要包括</w:t>
            </w:r>
            <w:r>
              <w:rPr>
                <w:rFonts w:hint="eastAsia"/>
                <w:sz w:val="24"/>
                <w:lang w:eastAsia="zh-CN"/>
              </w:rPr>
              <w:t>注塑过程产生的废包装袋、裁断检验产生的不合格品、海苔制作预处理过程产生的废原料菜、废谷物、冷却切片产生的废边角料、废水处理装置产生的污泥、废气处理设施中产生的收集粉尘、废布袋、废活性炭以及员工生活垃圾</w:t>
            </w:r>
            <w:r>
              <w:rPr>
                <w:sz w:val="24"/>
                <w:lang w:eastAsia="zh-CN"/>
              </w:rPr>
              <w:t>等。</w:t>
            </w:r>
          </w:p>
          <w:p>
            <w:pPr>
              <w:pStyle w:val="46"/>
              <w:snapToGrid w:val="0"/>
              <w:spacing w:line="360" w:lineRule="auto"/>
              <w:ind w:firstLine="482" w:firstLineChars="200"/>
              <w:rPr>
                <w:b/>
                <w:bCs/>
                <w:sz w:val="24"/>
                <w:lang w:eastAsia="zh-CN"/>
              </w:rPr>
            </w:pPr>
          </w:p>
          <w:p>
            <w:pPr>
              <w:pStyle w:val="46"/>
              <w:snapToGrid w:val="0"/>
              <w:spacing w:line="360" w:lineRule="auto"/>
              <w:ind w:firstLine="482" w:firstLineChars="200"/>
              <w:rPr>
                <w:sz w:val="24"/>
                <w:lang w:eastAsia="zh-CN"/>
              </w:rPr>
            </w:pPr>
            <w:r>
              <w:rPr>
                <w:rFonts w:hint="eastAsia"/>
                <w:b/>
                <w:bCs/>
                <w:sz w:val="24"/>
                <w:lang w:eastAsia="zh-CN"/>
              </w:rPr>
              <w:t>1、固废源强核算过程</w:t>
            </w:r>
          </w:p>
          <w:p>
            <w:pPr>
              <w:numPr>
                <w:ilvl w:val="0"/>
                <w:numId w:val="1"/>
              </w:numPr>
              <w:spacing w:line="360" w:lineRule="auto"/>
              <w:ind w:left="0" w:firstLine="482" w:firstLineChars="200"/>
              <w:jc w:val="left"/>
              <w:rPr>
                <w:b/>
                <w:bCs/>
                <w:sz w:val="24"/>
              </w:rPr>
            </w:pPr>
            <w:r>
              <w:rPr>
                <w:b/>
                <w:bCs/>
                <w:sz w:val="24"/>
              </w:rPr>
              <w:t>一般固废：</w:t>
            </w:r>
          </w:p>
          <w:p>
            <w:pPr>
              <w:numPr>
                <w:ilvl w:val="0"/>
                <w:numId w:val="2"/>
              </w:numPr>
              <w:spacing w:line="360" w:lineRule="auto"/>
              <w:ind w:firstLine="480" w:firstLineChars="200"/>
              <w:jc w:val="left"/>
              <w:rPr>
                <w:sz w:val="24"/>
              </w:rPr>
            </w:pPr>
            <w:r>
              <w:rPr>
                <w:rFonts w:hint="eastAsia"/>
                <w:sz w:val="24"/>
              </w:rPr>
              <w:t>废包装袋（S1-1）：注塑过程塑料颗粒拆包产生的废包装袋，规格为25kg/袋，原料用量为2500t/a，单个废包装袋重量按0.02kg计，则产生的废包装袋2t/a，属于一般固废，经收集外卖处置；</w:t>
            </w:r>
          </w:p>
          <w:p>
            <w:pPr>
              <w:numPr>
                <w:ilvl w:val="0"/>
                <w:numId w:val="2"/>
              </w:numPr>
              <w:spacing w:line="360" w:lineRule="auto"/>
              <w:ind w:firstLine="480" w:firstLineChars="200"/>
              <w:jc w:val="left"/>
              <w:rPr>
                <w:sz w:val="24"/>
              </w:rPr>
            </w:pPr>
            <w:r>
              <w:rPr>
                <w:rFonts w:hint="eastAsia"/>
                <w:sz w:val="24"/>
              </w:rPr>
              <w:t>废边角料（S1-2）、不合格品（S2-1、S3-1）：项目塑料制品裁切、检验工序产生的废边角料和不合格品，根据企业提供资料约占总量的1%，为25t/a，属于一般固废，经收集后破碎回用于生产；</w:t>
            </w:r>
          </w:p>
          <w:p>
            <w:pPr>
              <w:numPr>
                <w:ilvl w:val="0"/>
                <w:numId w:val="2"/>
              </w:numPr>
              <w:spacing w:line="360" w:lineRule="auto"/>
              <w:ind w:firstLine="480" w:firstLineChars="200"/>
              <w:jc w:val="left"/>
              <w:rPr>
                <w:sz w:val="24"/>
              </w:rPr>
            </w:pPr>
            <w:r>
              <w:rPr>
                <w:rFonts w:hint="eastAsia"/>
                <w:sz w:val="24"/>
              </w:rPr>
              <w:t>废原料菜（S5-1、S6-1）：原料菜预处理过程经人工挑选后产生废原料菜，根据企业提供资料，废原料菜约占0.5%，则产生废原料菜7t/a，属于一般固废，经收集交由环卫部门处理；</w:t>
            </w:r>
          </w:p>
          <w:p>
            <w:pPr>
              <w:numPr>
                <w:ilvl w:val="0"/>
                <w:numId w:val="2"/>
              </w:numPr>
              <w:spacing w:line="360" w:lineRule="auto"/>
              <w:ind w:firstLine="480" w:firstLineChars="200"/>
              <w:jc w:val="left"/>
              <w:rPr>
                <w:sz w:val="24"/>
              </w:rPr>
            </w:pPr>
            <w:r>
              <w:rPr>
                <w:rFonts w:hint="eastAsia"/>
                <w:sz w:val="24"/>
              </w:rPr>
              <w:t>废谷物（S5-2）：谷物加工过程，需经筛选，芝麻需经过水清洗，产生少量废谷物，按照企业提供数据知，废谷物约占0.1%，则产生废谷物量为1.2t/a，属于一般固废，经收集交由环卫部门处置；</w:t>
            </w:r>
          </w:p>
          <w:p>
            <w:pPr>
              <w:numPr>
                <w:ilvl w:val="0"/>
                <w:numId w:val="2"/>
              </w:numPr>
              <w:spacing w:line="360" w:lineRule="auto"/>
              <w:ind w:firstLine="480" w:firstLineChars="200"/>
              <w:jc w:val="left"/>
              <w:rPr>
                <w:sz w:val="24"/>
              </w:rPr>
            </w:pPr>
            <w:r>
              <w:rPr>
                <w:rFonts w:hint="eastAsia"/>
                <w:sz w:val="24"/>
              </w:rPr>
              <w:t>废边角料（S6-2、S5-2）：海苔生产过程中，冷却切片过程会产生废海苔碎屑，按照企业提供资料，约产生1t/a，为一般固废收集后交由环卫部门处置；</w:t>
            </w:r>
          </w:p>
          <w:p>
            <w:pPr>
              <w:numPr>
                <w:ilvl w:val="0"/>
                <w:numId w:val="2"/>
              </w:numPr>
              <w:spacing w:line="360" w:lineRule="auto"/>
              <w:ind w:firstLine="480" w:firstLineChars="200"/>
              <w:jc w:val="left"/>
              <w:rPr>
                <w:sz w:val="24"/>
              </w:rPr>
            </w:pPr>
            <w:r>
              <w:rPr>
                <w:rFonts w:hint="eastAsia"/>
                <w:sz w:val="24"/>
              </w:rPr>
              <w:t>污泥：项目污水处理设施运行一段时间后会产生污泥，根据验收数据可知，现有项目处理5440m</w:t>
            </w:r>
            <w:r>
              <w:rPr>
                <w:rFonts w:hint="eastAsia"/>
                <w:sz w:val="24"/>
                <w:vertAlign w:val="superscript"/>
              </w:rPr>
              <w:t>3</w:t>
            </w:r>
            <w:r>
              <w:rPr>
                <w:rFonts w:hint="eastAsia"/>
                <w:sz w:val="24"/>
              </w:rPr>
              <w:t>/a废水，污泥产生量为0.55t/a，本项目废水产生量约为7920m</w:t>
            </w:r>
            <w:r>
              <w:rPr>
                <w:rFonts w:hint="eastAsia"/>
                <w:sz w:val="24"/>
                <w:vertAlign w:val="superscript"/>
              </w:rPr>
              <w:t>3</w:t>
            </w:r>
            <w:r>
              <w:rPr>
                <w:rFonts w:hint="eastAsia"/>
                <w:sz w:val="24"/>
              </w:rPr>
              <w:t>/a，污泥产生量约0.8t/a，属于一般固废，交由环卫部门定期清运；</w:t>
            </w:r>
          </w:p>
          <w:p>
            <w:pPr>
              <w:numPr>
                <w:ilvl w:val="0"/>
                <w:numId w:val="2"/>
              </w:numPr>
              <w:spacing w:line="360" w:lineRule="auto"/>
              <w:ind w:firstLine="480" w:firstLineChars="200"/>
              <w:jc w:val="left"/>
              <w:rPr>
                <w:sz w:val="24"/>
              </w:rPr>
            </w:pPr>
            <w:r>
              <w:rPr>
                <w:rFonts w:hint="eastAsia"/>
                <w:sz w:val="24"/>
              </w:rPr>
              <w:t>收集粉尘</w:t>
            </w:r>
            <w:r>
              <w:rPr>
                <w:sz w:val="24"/>
              </w:rPr>
              <w:t>：</w:t>
            </w:r>
            <w:r>
              <w:rPr>
                <w:rFonts w:hint="eastAsia"/>
                <w:sz w:val="24"/>
              </w:rPr>
              <w:t>根据工程分析可知，项目布袋除尘器收尘量约为1.07t/a</w:t>
            </w:r>
            <w:r>
              <w:rPr>
                <w:sz w:val="24"/>
              </w:rPr>
              <w:t>，属于一般固废，</w:t>
            </w:r>
            <w:r>
              <w:rPr>
                <w:rFonts w:hint="eastAsia"/>
                <w:sz w:val="24"/>
              </w:rPr>
              <w:t>交由环卫部门定期清运</w:t>
            </w:r>
            <w:r>
              <w:rPr>
                <w:sz w:val="24"/>
              </w:rPr>
              <w:t>；</w:t>
            </w:r>
          </w:p>
          <w:p>
            <w:pPr>
              <w:numPr>
                <w:ilvl w:val="0"/>
                <w:numId w:val="2"/>
              </w:numPr>
              <w:spacing w:line="360" w:lineRule="auto"/>
              <w:ind w:firstLine="480" w:firstLineChars="200"/>
              <w:jc w:val="left"/>
              <w:rPr>
                <w:sz w:val="24"/>
              </w:rPr>
            </w:pPr>
            <w:r>
              <w:rPr>
                <w:sz w:val="24"/>
              </w:rPr>
              <w:t>生活垃圾按人均每天0.5kg算，本项目员工共</w:t>
            </w:r>
            <w:r>
              <w:rPr>
                <w:rFonts w:hint="eastAsia"/>
                <w:sz w:val="24"/>
              </w:rPr>
              <w:t>200</w:t>
            </w:r>
            <w:r>
              <w:rPr>
                <w:sz w:val="24"/>
              </w:rPr>
              <w:t>人，生活垃圾产生量为</w:t>
            </w:r>
            <w:r>
              <w:rPr>
                <w:rFonts w:hint="eastAsia"/>
                <w:sz w:val="24"/>
              </w:rPr>
              <w:t>30</w:t>
            </w:r>
            <w:r>
              <w:rPr>
                <w:sz w:val="24"/>
              </w:rPr>
              <w:t>t/a，属于一般固废，由环卫部门统一清运；</w:t>
            </w:r>
          </w:p>
          <w:p>
            <w:pPr>
              <w:numPr>
                <w:ilvl w:val="0"/>
                <w:numId w:val="2"/>
              </w:numPr>
              <w:spacing w:line="360" w:lineRule="auto"/>
              <w:ind w:firstLine="480" w:firstLineChars="200"/>
              <w:jc w:val="left"/>
              <w:rPr>
                <w:sz w:val="24"/>
              </w:rPr>
            </w:pPr>
            <w:r>
              <w:rPr>
                <w:rFonts w:hint="eastAsia"/>
                <w:sz w:val="24"/>
              </w:rPr>
              <w:t>废布袋：项目破碎粉尘处理过程中会产生一定量的废布袋，根据企业提供材料知，废布袋产生量约为0.01t/a，属于一般固废，交由环卫部门定期清运。</w:t>
            </w:r>
            <w:r>
              <w:rPr>
                <w:sz w:val="24"/>
              </w:rPr>
              <w:t xml:space="preserve"> </w:t>
            </w:r>
          </w:p>
          <w:p>
            <w:pPr>
              <w:numPr>
                <w:ilvl w:val="0"/>
                <w:numId w:val="1"/>
              </w:numPr>
              <w:spacing w:line="360" w:lineRule="auto"/>
              <w:ind w:left="0" w:firstLine="482" w:firstLineChars="200"/>
              <w:jc w:val="left"/>
              <w:rPr>
                <w:b/>
                <w:bCs/>
                <w:sz w:val="24"/>
              </w:rPr>
            </w:pPr>
            <w:r>
              <w:rPr>
                <w:rFonts w:hint="eastAsia"/>
                <w:b/>
                <w:bCs/>
                <w:sz w:val="24"/>
              </w:rPr>
              <w:t>危险</w:t>
            </w:r>
            <w:r>
              <w:rPr>
                <w:b/>
                <w:bCs/>
                <w:sz w:val="24"/>
              </w:rPr>
              <w:t>固废：</w:t>
            </w:r>
          </w:p>
          <w:p>
            <w:pPr>
              <w:pStyle w:val="46"/>
              <w:numPr>
                <w:ilvl w:val="0"/>
                <w:numId w:val="3"/>
              </w:numPr>
              <w:snapToGrid w:val="0"/>
              <w:spacing w:line="360" w:lineRule="auto"/>
              <w:ind w:firstLine="480" w:firstLineChars="200"/>
              <w:rPr>
                <w:bCs/>
                <w:sz w:val="24"/>
                <w:lang w:eastAsia="zh-CN"/>
              </w:rPr>
            </w:pPr>
            <w:r>
              <w:rPr>
                <w:rFonts w:hint="eastAsia"/>
                <w:bCs/>
                <w:sz w:val="24"/>
                <w:lang w:eastAsia="zh-CN"/>
              </w:rPr>
              <w:t>废活性炭：</w:t>
            </w:r>
            <w:r>
              <w:rPr>
                <w:sz w:val="24"/>
                <w:lang w:eastAsia="zh-CN"/>
              </w:rPr>
              <w:t>项目活性炭吸附装置吸有机废气产生的废活性炭，根据设计单位提供的资料，项目</w:t>
            </w:r>
            <w:r>
              <w:rPr>
                <w:rFonts w:hint="eastAsia"/>
                <w:sz w:val="24"/>
                <w:lang w:eastAsia="zh-CN"/>
              </w:rPr>
              <w:t>1</w:t>
            </w:r>
            <w:r>
              <w:rPr>
                <w:sz w:val="24"/>
                <w:lang w:eastAsia="zh-CN"/>
              </w:rPr>
              <w:t>套二级活性炭吸附装置，装置活性炭容量约为0.5m</w:t>
            </w:r>
            <w:r>
              <w:rPr>
                <w:sz w:val="24"/>
                <w:vertAlign w:val="superscript"/>
                <w:lang w:eastAsia="zh-CN"/>
              </w:rPr>
              <w:t>3</w:t>
            </w:r>
            <w:r>
              <w:rPr>
                <w:sz w:val="24"/>
                <w:lang w:eastAsia="zh-CN"/>
              </w:rPr>
              <w:t>，活性炭密度为0.45-0.6t/m</w:t>
            </w:r>
            <w:r>
              <w:rPr>
                <w:sz w:val="24"/>
                <w:vertAlign w:val="superscript"/>
                <w:lang w:eastAsia="zh-CN"/>
              </w:rPr>
              <w:t>3</w:t>
            </w:r>
            <w:r>
              <w:rPr>
                <w:sz w:val="24"/>
                <w:lang w:eastAsia="zh-CN"/>
              </w:rPr>
              <w:t>，评价选取最低密度0.45t/m</w:t>
            </w:r>
            <w:r>
              <w:rPr>
                <w:sz w:val="24"/>
                <w:vertAlign w:val="superscript"/>
                <w:lang w:eastAsia="zh-CN"/>
              </w:rPr>
              <w:t>3</w:t>
            </w:r>
            <w:r>
              <w:rPr>
                <w:sz w:val="24"/>
                <w:lang w:eastAsia="zh-CN"/>
              </w:rPr>
              <w:t>进行计算，则活性炭系统活性炭填装量为0.45t。项目有机废气采用活性炭吸附装置处理，活性炭装置吸附的废气量为0.</w:t>
            </w:r>
            <w:r>
              <w:rPr>
                <w:rFonts w:hint="eastAsia"/>
                <w:sz w:val="24"/>
                <w:lang w:eastAsia="zh-CN"/>
              </w:rPr>
              <w:t>369</w:t>
            </w:r>
            <w:r>
              <w:rPr>
                <w:sz w:val="24"/>
                <w:lang w:eastAsia="zh-CN"/>
              </w:rPr>
              <w:t>kg/h，项目活性炭的吸附容量按照0.3kg/kg计算，则在正常生产情况下，活性炭吸附装置吸附饱和时间为</w:t>
            </w:r>
            <w:r>
              <w:rPr>
                <w:rFonts w:hint="eastAsia"/>
                <w:sz w:val="24"/>
                <w:lang w:eastAsia="zh-CN"/>
              </w:rPr>
              <w:t>366</w:t>
            </w:r>
            <w:r>
              <w:rPr>
                <w:sz w:val="24"/>
                <w:lang w:eastAsia="zh-CN"/>
              </w:rPr>
              <w:t>h。为保证活性炭装置的吸附效率，评价建议活性炭吸附装置中的活性炭每年更换次数为</w:t>
            </w:r>
            <w:r>
              <w:rPr>
                <w:rFonts w:hint="eastAsia"/>
                <w:sz w:val="24"/>
                <w:lang w:eastAsia="zh-CN"/>
              </w:rPr>
              <w:t>9</w:t>
            </w:r>
            <w:r>
              <w:rPr>
                <w:sz w:val="24"/>
                <w:lang w:eastAsia="zh-CN"/>
              </w:rPr>
              <w:t>次，每次更换新活性炭量为0.45t，则年更换量为</w:t>
            </w:r>
            <w:r>
              <w:rPr>
                <w:rFonts w:hint="eastAsia"/>
                <w:sz w:val="24"/>
                <w:lang w:eastAsia="zh-CN"/>
              </w:rPr>
              <w:t>4.05</w:t>
            </w:r>
            <w:r>
              <w:rPr>
                <w:sz w:val="24"/>
                <w:lang w:eastAsia="zh-CN"/>
              </w:rPr>
              <w:t>t，属于危险固废，危废编号HW49，危废代码900-039-49，委托有资质单位处置</w:t>
            </w:r>
            <w:r>
              <w:rPr>
                <w:rFonts w:hint="eastAsia"/>
                <w:sz w:val="24"/>
                <w:lang w:eastAsia="zh-CN"/>
              </w:rPr>
              <w:t>。</w:t>
            </w:r>
          </w:p>
          <w:p>
            <w:pPr>
              <w:pStyle w:val="46"/>
              <w:snapToGrid w:val="0"/>
              <w:spacing w:line="360" w:lineRule="auto"/>
              <w:ind w:firstLine="482" w:firstLineChars="200"/>
              <w:rPr>
                <w:b/>
                <w:sz w:val="24"/>
                <w:lang w:eastAsia="zh-CN"/>
              </w:rPr>
            </w:pPr>
            <w:r>
              <w:rPr>
                <w:rFonts w:hint="eastAsia"/>
                <w:b/>
                <w:sz w:val="24"/>
                <w:lang w:eastAsia="zh-CN"/>
              </w:rPr>
              <w:t>2、固废产生源强及处理措施一览表</w:t>
            </w:r>
          </w:p>
          <w:p>
            <w:pPr>
              <w:pStyle w:val="46"/>
              <w:snapToGrid w:val="0"/>
              <w:spacing w:line="360" w:lineRule="auto"/>
              <w:ind w:firstLine="480" w:firstLineChars="200"/>
              <w:rPr>
                <w:sz w:val="24"/>
                <w:lang w:eastAsia="zh-CN"/>
              </w:rPr>
            </w:pPr>
            <w:r>
              <w:rPr>
                <w:sz w:val="24"/>
                <w:lang w:eastAsia="zh-CN"/>
              </w:rPr>
              <w:t>项目固体废物的产生量及处理措施见下表。</w:t>
            </w:r>
          </w:p>
          <w:p>
            <w:pPr>
              <w:spacing w:line="360" w:lineRule="auto"/>
              <w:jc w:val="center"/>
              <w:rPr>
                <w:b/>
                <w:bCs/>
                <w:sz w:val="24"/>
              </w:rPr>
            </w:pPr>
            <w:r>
              <w:rPr>
                <w:b/>
                <w:bCs/>
                <w:sz w:val="24"/>
              </w:rPr>
              <w:t>表</w:t>
            </w:r>
            <w:r>
              <w:rPr>
                <w:rFonts w:hint="eastAsia"/>
                <w:b/>
                <w:bCs/>
                <w:sz w:val="24"/>
              </w:rPr>
              <w:t xml:space="preserve">4-15   </w:t>
            </w:r>
            <w:r>
              <w:rPr>
                <w:b/>
                <w:bCs/>
                <w:sz w:val="24"/>
              </w:rPr>
              <w:t>固体废物源强及排放情况</w:t>
            </w:r>
          </w:p>
          <w:tbl>
            <w:tblPr>
              <w:tblStyle w:val="22"/>
              <w:tblpPr w:leftFromText="180" w:rightFromText="180" w:vertAnchor="text" w:tblpXSpec="center" w:tblpY="1"/>
              <w:tblOverlap w:val="never"/>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8"/>
              <w:gridCol w:w="569"/>
              <w:gridCol w:w="685"/>
              <w:gridCol w:w="428"/>
              <w:gridCol w:w="786"/>
              <w:gridCol w:w="508"/>
              <w:gridCol w:w="1560"/>
              <w:gridCol w:w="850"/>
              <w:gridCol w:w="709"/>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rPr>
                  </w:pPr>
                  <w:r>
                    <w:rPr>
                      <w:b/>
                      <w:bCs/>
                    </w:rPr>
                    <w:t>固废名称</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rPr>
                  </w:pPr>
                  <w:r>
                    <w:rPr>
                      <w:b/>
                      <w:bCs/>
                    </w:rPr>
                    <w:t>属性</w:t>
                  </w:r>
                </w:p>
              </w:tc>
              <w:tc>
                <w:tcPr>
                  <w:tcW w:w="6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rPr>
                  </w:pPr>
                  <w:r>
                    <w:rPr>
                      <w:b/>
                      <w:bCs/>
                    </w:rPr>
                    <w:t>产生工序</w:t>
                  </w:r>
                </w:p>
              </w:tc>
              <w:tc>
                <w:tcPr>
                  <w:tcW w:w="4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rPr>
                  </w:pPr>
                  <w:r>
                    <w:rPr>
                      <w:rFonts w:hint="eastAsia"/>
                      <w:b/>
                      <w:bCs/>
                    </w:rPr>
                    <w:t>物理性状</w:t>
                  </w:r>
                </w:p>
              </w:tc>
              <w:tc>
                <w:tcPr>
                  <w:tcW w:w="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rPr>
                  </w:pPr>
                  <w:r>
                    <w:rPr>
                      <w:rFonts w:hint="eastAsia"/>
                      <w:b/>
                      <w:bCs/>
                    </w:rPr>
                    <w:t>有毒有害物质名称</w:t>
                  </w:r>
                </w:p>
              </w:tc>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rPr>
                  </w:pPr>
                  <w:r>
                    <w:rPr>
                      <w:rFonts w:hint="eastAsia"/>
                      <w:b/>
                      <w:bCs/>
                    </w:rPr>
                    <w:t>贮存方式</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rPr>
                  </w:pPr>
                  <w:r>
                    <w:rPr>
                      <w:b/>
                      <w:bCs/>
                    </w:rPr>
                    <w:t>废物类别及代码</w:t>
                  </w:r>
                </w:p>
              </w:tc>
              <w:tc>
                <w:tcPr>
                  <w:tcW w:w="850" w:type="dxa"/>
                  <w:tcBorders>
                    <w:top w:val="single" w:color="auto" w:sz="4" w:space="0"/>
                    <w:left w:val="single" w:color="auto" w:sz="4" w:space="0"/>
                    <w:bottom w:val="single" w:color="auto" w:sz="6" w:space="0"/>
                    <w:right w:val="single" w:color="auto" w:sz="4" w:space="0"/>
                  </w:tcBorders>
                  <w:vAlign w:val="center"/>
                </w:tcPr>
                <w:p>
                  <w:pPr>
                    <w:adjustRightInd w:val="0"/>
                    <w:snapToGrid w:val="0"/>
                    <w:jc w:val="center"/>
                    <w:rPr>
                      <w:b/>
                      <w:bCs/>
                    </w:rPr>
                  </w:pPr>
                  <w:r>
                    <w:rPr>
                      <w:b/>
                      <w:bCs/>
                    </w:rPr>
                    <w:t>产生量（t/a）</w:t>
                  </w:r>
                </w:p>
              </w:tc>
              <w:tc>
                <w:tcPr>
                  <w:tcW w:w="709" w:type="dxa"/>
                  <w:tcBorders>
                    <w:top w:val="single" w:color="auto" w:sz="4" w:space="0"/>
                    <w:left w:val="single" w:color="auto" w:sz="4" w:space="0"/>
                    <w:bottom w:val="single" w:color="auto" w:sz="6" w:space="0"/>
                    <w:right w:val="single" w:color="auto" w:sz="4" w:space="0"/>
                  </w:tcBorders>
                  <w:vAlign w:val="center"/>
                </w:tcPr>
                <w:p>
                  <w:pPr>
                    <w:adjustRightInd w:val="0"/>
                    <w:snapToGrid w:val="0"/>
                    <w:jc w:val="center"/>
                    <w:rPr>
                      <w:b/>
                      <w:bCs/>
                    </w:rPr>
                  </w:pPr>
                  <w:r>
                    <w:rPr>
                      <w:b/>
                      <w:bCs/>
                    </w:rPr>
                    <w:t>处置方式</w:t>
                  </w:r>
                </w:p>
              </w:tc>
              <w:tc>
                <w:tcPr>
                  <w:tcW w:w="855" w:type="dxa"/>
                  <w:tcBorders>
                    <w:top w:val="single" w:color="auto" w:sz="4" w:space="0"/>
                    <w:left w:val="single" w:color="auto" w:sz="4" w:space="0"/>
                    <w:bottom w:val="single" w:color="auto" w:sz="6" w:space="0"/>
                    <w:right w:val="single" w:color="auto" w:sz="4" w:space="0"/>
                  </w:tcBorders>
                  <w:vAlign w:val="center"/>
                </w:tcPr>
                <w:p>
                  <w:pPr>
                    <w:adjustRightInd w:val="0"/>
                    <w:snapToGrid w:val="0"/>
                    <w:jc w:val="center"/>
                    <w:rPr>
                      <w:b/>
                      <w:bCs/>
                    </w:rPr>
                  </w:pPr>
                  <w:r>
                    <w:rPr>
                      <w:rFonts w:hint="eastAsia"/>
                      <w:b/>
                      <w:bCs/>
                    </w:rPr>
                    <w:t>处置量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废包装袋</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一般固废</w:t>
                  </w:r>
                </w:p>
              </w:tc>
              <w:tc>
                <w:tcPr>
                  <w:tcW w:w="685" w:type="dxa"/>
                  <w:tcBorders>
                    <w:top w:val="single" w:color="auto" w:sz="4" w:space="0"/>
                    <w:left w:val="single" w:color="auto" w:sz="4" w:space="0"/>
                    <w:bottom w:val="single" w:color="auto" w:sz="4" w:space="0"/>
                    <w:right w:val="single" w:color="auto" w:sz="4" w:space="0"/>
                  </w:tcBorders>
                  <w:vAlign w:val="center"/>
                </w:tcPr>
                <w:p>
                  <w:pPr>
                    <w:ind w:leftChars="-11" w:hanging="23" w:hangingChars="11"/>
                    <w:jc w:val="center"/>
                  </w:pPr>
                  <w:r>
                    <w:rPr>
                      <w:rFonts w:hint="eastAsia"/>
                    </w:rPr>
                    <w:t>注塑</w:t>
                  </w:r>
                </w:p>
              </w:tc>
              <w:tc>
                <w:tcPr>
                  <w:tcW w:w="4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固</w:t>
                  </w:r>
                </w:p>
              </w:tc>
              <w:tc>
                <w:tcPr>
                  <w:tcW w:w="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w:t>
                  </w:r>
                </w:p>
              </w:tc>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袋装</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07废复合包装</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2</w:t>
                  </w:r>
                </w:p>
              </w:tc>
              <w:tc>
                <w:tcPr>
                  <w:tcW w:w="709" w:type="dxa"/>
                  <w:tcBorders>
                    <w:top w:val="single" w:color="auto" w:sz="4" w:space="0"/>
                    <w:left w:val="single" w:color="auto" w:sz="4" w:space="0"/>
                    <w:right w:val="single" w:color="auto" w:sz="4" w:space="0"/>
                  </w:tcBorders>
                  <w:vAlign w:val="center"/>
                </w:tcPr>
                <w:p>
                  <w:pPr>
                    <w:adjustRightInd w:val="0"/>
                    <w:snapToGrid w:val="0"/>
                    <w:jc w:val="center"/>
                  </w:pPr>
                  <w:r>
                    <w:rPr>
                      <w:rFonts w:hint="eastAsia"/>
                    </w:rPr>
                    <w:t>外卖</w:t>
                  </w:r>
                </w:p>
              </w:tc>
              <w:tc>
                <w:tcPr>
                  <w:tcW w:w="855" w:type="dxa"/>
                  <w:tcBorders>
                    <w:top w:val="single" w:color="auto" w:sz="4" w:space="0"/>
                    <w:left w:val="single" w:color="auto" w:sz="4" w:space="0"/>
                    <w:right w:val="single" w:color="auto" w:sz="4" w:space="0"/>
                  </w:tcBorders>
                  <w:vAlign w:val="center"/>
                </w:tcPr>
                <w:p>
                  <w:pPr>
                    <w:adjustRightInd w:val="0"/>
                    <w:snapToGrid w:val="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废边角料</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一般固废</w:t>
                  </w:r>
                </w:p>
              </w:tc>
              <w:tc>
                <w:tcPr>
                  <w:tcW w:w="685" w:type="dxa"/>
                  <w:vMerge w:val="restart"/>
                  <w:tcBorders>
                    <w:top w:val="single" w:color="auto" w:sz="4" w:space="0"/>
                    <w:left w:val="single" w:color="auto" w:sz="4" w:space="0"/>
                    <w:right w:val="single" w:color="auto" w:sz="4" w:space="0"/>
                  </w:tcBorders>
                  <w:vAlign w:val="center"/>
                </w:tcPr>
                <w:p>
                  <w:pPr>
                    <w:ind w:leftChars="-11" w:hanging="23" w:hangingChars="11"/>
                    <w:jc w:val="center"/>
                  </w:pPr>
                  <w:r>
                    <w:rPr>
                      <w:rFonts w:hint="eastAsia"/>
                    </w:rPr>
                    <w:t>裁断检验</w:t>
                  </w:r>
                </w:p>
              </w:tc>
              <w:tc>
                <w:tcPr>
                  <w:tcW w:w="4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固</w:t>
                  </w:r>
                </w:p>
              </w:tc>
              <w:tc>
                <w:tcPr>
                  <w:tcW w:w="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w:t>
                  </w:r>
                </w:p>
              </w:tc>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袋装</w:t>
                  </w:r>
                </w:p>
              </w:tc>
              <w:tc>
                <w:tcPr>
                  <w:tcW w:w="1560" w:type="dxa"/>
                  <w:vMerge w:val="restart"/>
                  <w:tcBorders>
                    <w:top w:val="single" w:color="auto" w:sz="4" w:space="0"/>
                    <w:left w:val="single" w:color="auto" w:sz="4" w:space="0"/>
                    <w:right w:val="single" w:color="auto" w:sz="4" w:space="0"/>
                  </w:tcBorders>
                  <w:vAlign w:val="center"/>
                </w:tcPr>
                <w:p>
                  <w:pPr>
                    <w:adjustRightInd w:val="0"/>
                    <w:snapToGrid w:val="0"/>
                    <w:jc w:val="center"/>
                  </w:pPr>
                  <w:r>
                    <w:rPr>
                      <w:rFonts w:hint="eastAsia"/>
                    </w:rPr>
                    <w:t>99其他废物</w:t>
                  </w:r>
                </w:p>
              </w:tc>
              <w:tc>
                <w:tcPr>
                  <w:tcW w:w="850" w:type="dxa"/>
                  <w:vMerge w:val="restart"/>
                  <w:tcBorders>
                    <w:top w:val="single" w:color="auto" w:sz="4" w:space="0"/>
                    <w:left w:val="single" w:color="auto" w:sz="4" w:space="0"/>
                    <w:right w:val="single" w:color="auto" w:sz="4" w:space="0"/>
                  </w:tcBorders>
                  <w:vAlign w:val="center"/>
                </w:tcPr>
                <w:p>
                  <w:pPr>
                    <w:adjustRightInd w:val="0"/>
                    <w:snapToGrid w:val="0"/>
                    <w:jc w:val="center"/>
                  </w:pPr>
                  <w:r>
                    <w:rPr>
                      <w:rFonts w:hint="eastAsia"/>
                    </w:rPr>
                    <w:t>25</w:t>
                  </w:r>
                </w:p>
              </w:tc>
              <w:tc>
                <w:tcPr>
                  <w:tcW w:w="709" w:type="dxa"/>
                  <w:vMerge w:val="restart"/>
                  <w:tcBorders>
                    <w:left w:val="single" w:color="auto" w:sz="4" w:space="0"/>
                    <w:right w:val="single" w:color="auto" w:sz="4" w:space="0"/>
                  </w:tcBorders>
                  <w:vAlign w:val="center"/>
                </w:tcPr>
                <w:p>
                  <w:pPr>
                    <w:adjustRightInd w:val="0"/>
                    <w:snapToGrid w:val="0"/>
                    <w:jc w:val="center"/>
                  </w:pPr>
                  <w:r>
                    <w:rPr>
                      <w:rFonts w:hint="eastAsia"/>
                    </w:rPr>
                    <w:t>回用于生产</w:t>
                  </w:r>
                </w:p>
              </w:tc>
              <w:tc>
                <w:tcPr>
                  <w:tcW w:w="855" w:type="dxa"/>
                  <w:vMerge w:val="restart"/>
                  <w:tcBorders>
                    <w:left w:val="single" w:color="auto" w:sz="4" w:space="0"/>
                    <w:right w:val="single" w:color="auto" w:sz="4" w:space="0"/>
                  </w:tcBorders>
                  <w:vAlign w:val="center"/>
                </w:tcPr>
                <w:p>
                  <w:pPr>
                    <w:adjustRightInd w:val="0"/>
                    <w:snapToGrid w:val="0"/>
                    <w:jc w:val="cente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不合格品</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一般固废</w:t>
                  </w:r>
                </w:p>
              </w:tc>
              <w:tc>
                <w:tcPr>
                  <w:tcW w:w="685" w:type="dxa"/>
                  <w:vMerge w:val="continue"/>
                  <w:tcBorders>
                    <w:left w:val="single" w:color="auto" w:sz="4" w:space="0"/>
                    <w:bottom w:val="single" w:color="auto" w:sz="4" w:space="0"/>
                    <w:right w:val="single" w:color="auto" w:sz="4" w:space="0"/>
                  </w:tcBorders>
                  <w:vAlign w:val="center"/>
                </w:tcPr>
                <w:p>
                  <w:pPr>
                    <w:ind w:leftChars="-11" w:hanging="23" w:hangingChars="11"/>
                    <w:jc w:val="center"/>
                  </w:pPr>
                </w:p>
              </w:tc>
              <w:tc>
                <w:tcPr>
                  <w:tcW w:w="4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固</w:t>
                  </w:r>
                </w:p>
              </w:tc>
              <w:tc>
                <w:tcPr>
                  <w:tcW w:w="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w:t>
                  </w:r>
                </w:p>
              </w:tc>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袋装</w:t>
                  </w:r>
                </w:p>
              </w:tc>
              <w:tc>
                <w:tcPr>
                  <w:tcW w:w="1560" w:type="dxa"/>
                  <w:vMerge w:val="continue"/>
                  <w:tcBorders>
                    <w:left w:val="single" w:color="auto" w:sz="4" w:space="0"/>
                    <w:bottom w:val="single" w:color="auto" w:sz="4" w:space="0"/>
                    <w:right w:val="single" w:color="auto" w:sz="4" w:space="0"/>
                  </w:tcBorders>
                  <w:vAlign w:val="center"/>
                </w:tcPr>
                <w:p>
                  <w:pPr>
                    <w:adjustRightInd w:val="0"/>
                    <w:snapToGrid w:val="0"/>
                    <w:jc w:val="center"/>
                  </w:pPr>
                </w:p>
              </w:tc>
              <w:tc>
                <w:tcPr>
                  <w:tcW w:w="850" w:type="dxa"/>
                  <w:vMerge w:val="continue"/>
                  <w:tcBorders>
                    <w:left w:val="single" w:color="auto" w:sz="4" w:space="0"/>
                    <w:bottom w:val="single" w:color="auto" w:sz="4" w:space="0"/>
                    <w:right w:val="single" w:color="auto" w:sz="4" w:space="0"/>
                  </w:tcBorders>
                  <w:vAlign w:val="center"/>
                </w:tcPr>
                <w:p>
                  <w:pPr>
                    <w:adjustRightInd w:val="0"/>
                    <w:snapToGrid w:val="0"/>
                    <w:jc w:val="center"/>
                  </w:pPr>
                </w:p>
              </w:tc>
              <w:tc>
                <w:tcPr>
                  <w:tcW w:w="709" w:type="dxa"/>
                  <w:vMerge w:val="continue"/>
                  <w:tcBorders>
                    <w:left w:val="single" w:color="auto" w:sz="4" w:space="0"/>
                    <w:right w:val="single" w:color="auto" w:sz="4" w:space="0"/>
                  </w:tcBorders>
                  <w:vAlign w:val="center"/>
                </w:tcPr>
                <w:p>
                  <w:pPr>
                    <w:adjustRightInd w:val="0"/>
                    <w:snapToGrid w:val="0"/>
                    <w:jc w:val="center"/>
                  </w:pPr>
                </w:p>
              </w:tc>
              <w:tc>
                <w:tcPr>
                  <w:tcW w:w="855" w:type="dxa"/>
                  <w:vMerge w:val="continue"/>
                  <w:tcBorders>
                    <w:left w:val="single" w:color="auto" w:sz="4" w:space="0"/>
                    <w:right w:val="single" w:color="auto" w:sz="4" w:space="0"/>
                  </w:tcBorders>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废原料菜</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一般固废</w:t>
                  </w:r>
                </w:p>
              </w:tc>
              <w:tc>
                <w:tcPr>
                  <w:tcW w:w="685" w:type="dxa"/>
                  <w:tcBorders>
                    <w:top w:val="single" w:color="auto" w:sz="4" w:space="0"/>
                    <w:left w:val="single" w:color="auto" w:sz="4" w:space="0"/>
                    <w:bottom w:val="single" w:color="auto" w:sz="4" w:space="0"/>
                    <w:right w:val="single" w:color="auto" w:sz="4" w:space="0"/>
                  </w:tcBorders>
                  <w:vAlign w:val="center"/>
                </w:tcPr>
                <w:p>
                  <w:pPr>
                    <w:ind w:leftChars="-11" w:hanging="23" w:hangingChars="11"/>
                    <w:jc w:val="center"/>
                  </w:pPr>
                  <w:r>
                    <w:rPr>
                      <w:rFonts w:hint="eastAsia"/>
                    </w:rPr>
                    <w:t>预处理</w:t>
                  </w:r>
                </w:p>
              </w:tc>
              <w:tc>
                <w:tcPr>
                  <w:tcW w:w="4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固</w:t>
                  </w:r>
                </w:p>
              </w:tc>
              <w:tc>
                <w:tcPr>
                  <w:tcW w:w="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w:t>
                  </w:r>
                </w:p>
              </w:tc>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袋装</w:t>
                  </w:r>
                </w:p>
              </w:tc>
              <w:tc>
                <w:tcPr>
                  <w:tcW w:w="1560" w:type="dxa"/>
                  <w:vMerge w:val="restart"/>
                  <w:tcBorders>
                    <w:top w:val="single" w:color="auto" w:sz="4" w:space="0"/>
                    <w:left w:val="single" w:color="auto" w:sz="4" w:space="0"/>
                    <w:right w:val="single" w:color="auto" w:sz="4" w:space="0"/>
                  </w:tcBorders>
                  <w:vAlign w:val="center"/>
                </w:tcPr>
                <w:p>
                  <w:pPr>
                    <w:adjustRightInd w:val="0"/>
                    <w:snapToGrid w:val="0"/>
                    <w:jc w:val="center"/>
                  </w:pPr>
                  <w:r>
                    <w:rPr>
                      <w:rFonts w:hint="eastAsia"/>
                    </w:rPr>
                    <w:t>34粮食及食品加工废物</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7</w:t>
                  </w:r>
                </w:p>
              </w:tc>
              <w:tc>
                <w:tcPr>
                  <w:tcW w:w="709" w:type="dxa"/>
                  <w:vMerge w:val="restart"/>
                  <w:tcBorders>
                    <w:left w:val="single" w:color="auto" w:sz="4" w:space="0"/>
                    <w:right w:val="single" w:color="auto" w:sz="4" w:space="0"/>
                  </w:tcBorders>
                  <w:vAlign w:val="center"/>
                </w:tcPr>
                <w:p>
                  <w:pPr>
                    <w:adjustRightInd w:val="0"/>
                    <w:snapToGrid w:val="0"/>
                    <w:jc w:val="center"/>
                  </w:pPr>
                  <w:r>
                    <w:rPr>
                      <w:rFonts w:hint="eastAsia"/>
                    </w:rPr>
                    <w:t>环卫部门清运</w:t>
                  </w:r>
                </w:p>
              </w:tc>
              <w:tc>
                <w:tcPr>
                  <w:tcW w:w="855" w:type="dxa"/>
                  <w:tcBorders>
                    <w:left w:val="single" w:color="auto" w:sz="4" w:space="0"/>
                    <w:right w:val="single" w:color="auto" w:sz="4" w:space="0"/>
                  </w:tcBorders>
                  <w:vAlign w:val="center"/>
                </w:tcPr>
                <w:p>
                  <w:pPr>
                    <w:adjustRightInd w:val="0"/>
                    <w:snapToGrid w:val="0"/>
                    <w:jc w:val="cente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废谷物</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一般固废</w:t>
                  </w:r>
                </w:p>
              </w:tc>
              <w:tc>
                <w:tcPr>
                  <w:tcW w:w="685" w:type="dxa"/>
                  <w:tcBorders>
                    <w:top w:val="single" w:color="auto" w:sz="4" w:space="0"/>
                    <w:left w:val="single" w:color="auto" w:sz="4" w:space="0"/>
                    <w:bottom w:val="single" w:color="auto" w:sz="4" w:space="0"/>
                    <w:right w:val="single" w:color="auto" w:sz="4" w:space="0"/>
                  </w:tcBorders>
                  <w:vAlign w:val="center"/>
                </w:tcPr>
                <w:p>
                  <w:pPr>
                    <w:ind w:leftChars="-11" w:hanging="23" w:hangingChars="11"/>
                    <w:jc w:val="center"/>
                  </w:pPr>
                  <w:r>
                    <w:rPr>
                      <w:rFonts w:hint="eastAsia"/>
                    </w:rPr>
                    <w:t>预处理</w:t>
                  </w:r>
                </w:p>
              </w:tc>
              <w:tc>
                <w:tcPr>
                  <w:tcW w:w="4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固</w:t>
                  </w:r>
                </w:p>
              </w:tc>
              <w:tc>
                <w:tcPr>
                  <w:tcW w:w="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w:t>
                  </w:r>
                </w:p>
              </w:tc>
              <w:tc>
                <w:tcPr>
                  <w:tcW w:w="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袋装</w:t>
                  </w:r>
                </w:p>
              </w:tc>
              <w:tc>
                <w:tcPr>
                  <w:tcW w:w="1560" w:type="dxa"/>
                  <w:vMerge w:val="continue"/>
                  <w:tcBorders>
                    <w:left w:val="single" w:color="auto" w:sz="4" w:space="0"/>
                    <w:right w:val="single" w:color="auto" w:sz="4" w:space="0"/>
                  </w:tcBorders>
                  <w:vAlign w:val="center"/>
                </w:tcPr>
                <w:p>
                  <w:pPr>
                    <w:adjustRightInd w:val="0"/>
                    <w:snapToGrid w:val="0"/>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1.2</w:t>
                  </w:r>
                </w:p>
              </w:tc>
              <w:tc>
                <w:tcPr>
                  <w:tcW w:w="709" w:type="dxa"/>
                  <w:vMerge w:val="continue"/>
                  <w:tcBorders>
                    <w:left w:val="single" w:color="auto" w:sz="4" w:space="0"/>
                    <w:right w:val="single" w:color="auto" w:sz="4" w:space="0"/>
                  </w:tcBorders>
                  <w:vAlign w:val="center"/>
                </w:tcPr>
                <w:p>
                  <w:pPr>
                    <w:adjustRightInd w:val="0"/>
                    <w:snapToGrid w:val="0"/>
                    <w:jc w:val="center"/>
                  </w:pPr>
                </w:p>
              </w:tc>
              <w:tc>
                <w:tcPr>
                  <w:tcW w:w="855" w:type="dxa"/>
                  <w:tcBorders>
                    <w:left w:val="single" w:color="auto" w:sz="4" w:space="0"/>
                    <w:right w:val="single" w:color="auto" w:sz="4" w:space="0"/>
                  </w:tcBorders>
                  <w:vAlign w:val="center"/>
                </w:tcPr>
                <w:p>
                  <w:pPr>
                    <w:adjustRightInd w:val="0"/>
                    <w:snapToGrid w:val="0"/>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废边角料</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一般固废</w:t>
                  </w:r>
                </w:p>
              </w:tc>
              <w:tc>
                <w:tcPr>
                  <w:tcW w:w="685" w:type="dxa"/>
                  <w:tcBorders>
                    <w:left w:val="single" w:color="auto" w:sz="4" w:space="0"/>
                    <w:right w:val="single" w:color="auto" w:sz="4" w:space="0"/>
                  </w:tcBorders>
                  <w:vAlign w:val="center"/>
                </w:tcPr>
                <w:p>
                  <w:pPr>
                    <w:ind w:leftChars="-11" w:hanging="23" w:hangingChars="11"/>
                    <w:jc w:val="center"/>
                  </w:pPr>
                  <w:r>
                    <w:rPr>
                      <w:rFonts w:hint="eastAsia"/>
                    </w:rPr>
                    <w:t>冷却切片</w:t>
                  </w:r>
                </w:p>
              </w:tc>
              <w:tc>
                <w:tcPr>
                  <w:tcW w:w="428"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pPr>
                  <w:r>
                    <w:t>固</w:t>
                  </w:r>
                </w:p>
              </w:tc>
              <w:tc>
                <w:tcPr>
                  <w:tcW w:w="786" w:type="dxa"/>
                  <w:tcBorders>
                    <w:left w:val="single" w:color="auto" w:sz="6" w:space="0"/>
                    <w:right w:val="single" w:color="auto" w:sz="4" w:space="0"/>
                  </w:tcBorders>
                  <w:vAlign w:val="center"/>
                </w:tcPr>
                <w:p>
                  <w:pPr>
                    <w:adjustRightInd w:val="0"/>
                    <w:snapToGrid w:val="0"/>
                    <w:jc w:val="center"/>
                  </w:pPr>
                  <w:r>
                    <w:rPr>
                      <w:rFonts w:hint="eastAsia"/>
                    </w:rPr>
                    <w:t>/</w:t>
                  </w:r>
                </w:p>
              </w:tc>
              <w:tc>
                <w:tcPr>
                  <w:tcW w:w="508" w:type="dxa"/>
                  <w:tcBorders>
                    <w:left w:val="single" w:color="auto" w:sz="4" w:space="0"/>
                    <w:right w:val="single" w:color="auto" w:sz="4" w:space="0"/>
                  </w:tcBorders>
                  <w:vAlign w:val="center"/>
                </w:tcPr>
                <w:p>
                  <w:pPr>
                    <w:adjustRightInd w:val="0"/>
                    <w:snapToGrid w:val="0"/>
                    <w:jc w:val="center"/>
                  </w:pPr>
                  <w:r>
                    <w:rPr>
                      <w:rFonts w:hint="eastAsia"/>
                    </w:rPr>
                    <w:t>袋装</w:t>
                  </w:r>
                </w:p>
              </w:tc>
              <w:tc>
                <w:tcPr>
                  <w:tcW w:w="1560" w:type="dxa"/>
                  <w:vMerge w:val="continue"/>
                  <w:tcBorders>
                    <w:left w:val="single" w:color="auto" w:sz="4" w:space="0"/>
                    <w:bottom w:val="single" w:color="auto" w:sz="4" w:space="0"/>
                    <w:right w:val="single" w:color="auto" w:sz="4" w:space="0"/>
                  </w:tcBorders>
                  <w:vAlign w:val="center"/>
                </w:tcPr>
                <w:p>
                  <w:pPr>
                    <w:adjustRightInd w:val="0"/>
                    <w:snapToGrid w:val="0"/>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1</w:t>
                  </w:r>
                </w:p>
              </w:tc>
              <w:tc>
                <w:tcPr>
                  <w:tcW w:w="709" w:type="dxa"/>
                  <w:vMerge w:val="continue"/>
                  <w:tcBorders>
                    <w:left w:val="single" w:color="auto" w:sz="4" w:space="0"/>
                    <w:right w:val="single" w:color="auto" w:sz="4" w:space="0"/>
                  </w:tcBorders>
                  <w:vAlign w:val="center"/>
                </w:tcPr>
                <w:p>
                  <w:pPr>
                    <w:adjustRightInd w:val="0"/>
                    <w:snapToGrid w:val="0"/>
                    <w:jc w:val="center"/>
                  </w:pPr>
                </w:p>
              </w:tc>
              <w:tc>
                <w:tcPr>
                  <w:tcW w:w="855" w:type="dxa"/>
                  <w:tcBorders>
                    <w:left w:val="single" w:color="auto" w:sz="4" w:space="0"/>
                    <w:right w:val="single" w:color="auto" w:sz="4" w:space="0"/>
                  </w:tcBorders>
                  <w:vAlign w:val="center"/>
                </w:tcPr>
                <w:p>
                  <w:pPr>
                    <w:adjustRightInd w:val="0"/>
                    <w:snapToGrid w:val="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污泥</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一般固废</w:t>
                  </w:r>
                </w:p>
              </w:tc>
              <w:tc>
                <w:tcPr>
                  <w:tcW w:w="685" w:type="dxa"/>
                  <w:tcBorders>
                    <w:left w:val="single" w:color="auto" w:sz="4" w:space="0"/>
                    <w:right w:val="single" w:color="auto" w:sz="4" w:space="0"/>
                  </w:tcBorders>
                  <w:vAlign w:val="center"/>
                </w:tcPr>
                <w:p>
                  <w:pPr>
                    <w:ind w:leftChars="-11" w:hanging="23" w:hangingChars="11"/>
                    <w:jc w:val="center"/>
                  </w:pPr>
                  <w:r>
                    <w:rPr>
                      <w:rFonts w:hint="eastAsia"/>
                    </w:rPr>
                    <w:t>污水处理</w:t>
                  </w:r>
                </w:p>
              </w:tc>
              <w:tc>
                <w:tcPr>
                  <w:tcW w:w="428"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pPr>
                  <w:r>
                    <w:t>固</w:t>
                  </w:r>
                </w:p>
              </w:tc>
              <w:tc>
                <w:tcPr>
                  <w:tcW w:w="786" w:type="dxa"/>
                  <w:tcBorders>
                    <w:left w:val="single" w:color="auto" w:sz="6" w:space="0"/>
                    <w:right w:val="single" w:color="auto" w:sz="4" w:space="0"/>
                  </w:tcBorders>
                  <w:vAlign w:val="center"/>
                </w:tcPr>
                <w:p>
                  <w:pPr>
                    <w:adjustRightInd w:val="0"/>
                    <w:snapToGrid w:val="0"/>
                    <w:jc w:val="center"/>
                  </w:pPr>
                  <w:r>
                    <w:rPr>
                      <w:rFonts w:hint="eastAsia"/>
                    </w:rPr>
                    <w:t>/</w:t>
                  </w:r>
                </w:p>
              </w:tc>
              <w:tc>
                <w:tcPr>
                  <w:tcW w:w="508" w:type="dxa"/>
                  <w:tcBorders>
                    <w:left w:val="single" w:color="auto" w:sz="4" w:space="0"/>
                    <w:right w:val="single" w:color="auto" w:sz="4" w:space="0"/>
                  </w:tcBorders>
                  <w:vAlign w:val="center"/>
                </w:tcPr>
                <w:p>
                  <w:pPr>
                    <w:adjustRightInd w:val="0"/>
                    <w:snapToGrid w:val="0"/>
                    <w:jc w:val="center"/>
                  </w:pPr>
                  <w:r>
                    <w:rPr>
                      <w:rFonts w:hint="eastAsia"/>
                    </w:rPr>
                    <w:t>袋装</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62有机废水污泥</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0.8</w:t>
                  </w:r>
                </w:p>
              </w:tc>
              <w:tc>
                <w:tcPr>
                  <w:tcW w:w="709" w:type="dxa"/>
                  <w:vMerge w:val="continue"/>
                  <w:tcBorders>
                    <w:left w:val="single" w:color="auto" w:sz="4" w:space="0"/>
                    <w:right w:val="single" w:color="auto" w:sz="4" w:space="0"/>
                  </w:tcBorders>
                  <w:vAlign w:val="center"/>
                </w:tcPr>
                <w:p>
                  <w:pPr>
                    <w:adjustRightInd w:val="0"/>
                    <w:snapToGrid w:val="0"/>
                    <w:jc w:val="center"/>
                  </w:pPr>
                </w:p>
              </w:tc>
              <w:tc>
                <w:tcPr>
                  <w:tcW w:w="855" w:type="dxa"/>
                  <w:tcBorders>
                    <w:left w:val="single" w:color="auto" w:sz="4" w:space="0"/>
                    <w:right w:val="single" w:color="auto" w:sz="4" w:space="0"/>
                  </w:tcBorders>
                  <w:vAlign w:val="center"/>
                </w:tcPr>
                <w:p>
                  <w:pPr>
                    <w:adjustRightInd w:val="0"/>
                    <w:snapToGrid w:val="0"/>
                    <w:jc w:val="cente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收集粉尘</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一般固废</w:t>
                  </w:r>
                </w:p>
              </w:tc>
              <w:tc>
                <w:tcPr>
                  <w:tcW w:w="685" w:type="dxa"/>
                  <w:tcBorders>
                    <w:left w:val="single" w:color="auto" w:sz="4" w:space="0"/>
                    <w:right w:val="single" w:color="auto" w:sz="4" w:space="0"/>
                  </w:tcBorders>
                  <w:vAlign w:val="center"/>
                </w:tcPr>
                <w:p>
                  <w:pPr>
                    <w:ind w:leftChars="-11" w:hanging="23" w:hangingChars="11"/>
                    <w:jc w:val="center"/>
                  </w:pPr>
                  <w:r>
                    <w:rPr>
                      <w:rFonts w:hint="eastAsia"/>
                    </w:rPr>
                    <w:t>废气处理</w:t>
                  </w:r>
                </w:p>
              </w:tc>
              <w:tc>
                <w:tcPr>
                  <w:tcW w:w="428"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pPr>
                  <w:r>
                    <w:t>固</w:t>
                  </w:r>
                </w:p>
              </w:tc>
              <w:tc>
                <w:tcPr>
                  <w:tcW w:w="786" w:type="dxa"/>
                  <w:tcBorders>
                    <w:left w:val="single" w:color="auto" w:sz="6" w:space="0"/>
                    <w:right w:val="single" w:color="auto" w:sz="4" w:space="0"/>
                  </w:tcBorders>
                  <w:vAlign w:val="center"/>
                </w:tcPr>
                <w:p>
                  <w:pPr>
                    <w:adjustRightInd w:val="0"/>
                    <w:snapToGrid w:val="0"/>
                    <w:jc w:val="center"/>
                  </w:pPr>
                  <w:r>
                    <w:rPr>
                      <w:rFonts w:hint="eastAsia"/>
                    </w:rPr>
                    <w:t>/</w:t>
                  </w:r>
                </w:p>
              </w:tc>
              <w:tc>
                <w:tcPr>
                  <w:tcW w:w="508" w:type="dxa"/>
                  <w:tcBorders>
                    <w:left w:val="single" w:color="auto" w:sz="4" w:space="0"/>
                    <w:right w:val="single" w:color="auto" w:sz="4" w:space="0"/>
                  </w:tcBorders>
                  <w:vAlign w:val="center"/>
                </w:tcPr>
                <w:p>
                  <w:pPr>
                    <w:adjustRightInd w:val="0"/>
                    <w:snapToGrid w:val="0"/>
                    <w:jc w:val="center"/>
                  </w:pPr>
                  <w:r>
                    <w:rPr>
                      <w:rFonts w:hint="eastAsia"/>
                    </w:rPr>
                    <w:t>袋装</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66工业粉尘</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1.07</w:t>
                  </w:r>
                </w:p>
              </w:tc>
              <w:tc>
                <w:tcPr>
                  <w:tcW w:w="709" w:type="dxa"/>
                  <w:vMerge w:val="continue"/>
                  <w:tcBorders>
                    <w:left w:val="single" w:color="auto" w:sz="4" w:space="0"/>
                    <w:right w:val="single" w:color="auto" w:sz="4" w:space="0"/>
                  </w:tcBorders>
                  <w:vAlign w:val="center"/>
                </w:tcPr>
                <w:p>
                  <w:pPr>
                    <w:adjustRightInd w:val="0"/>
                    <w:snapToGrid w:val="0"/>
                    <w:jc w:val="center"/>
                  </w:pPr>
                </w:p>
              </w:tc>
              <w:tc>
                <w:tcPr>
                  <w:tcW w:w="855" w:type="dxa"/>
                  <w:tcBorders>
                    <w:left w:val="single" w:color="auto" w:sz="4" w:space="0"/>
                    <w:right w:val="single" w:color="auto" w:sz="4" w:space="0"/>
                  </w:tcBorders>
                  <w:vAlign w:val="center"/>
                </w:tcPr>
                <w:p>
                  <w:pPr>
                    <w:adjustRightInd w:val="0"/>
                    <w:snapToGrid w:val="0"/>
                    <w:jc w:val="center"/>
                  </w:pPr>
                  <w:r>
                    <w:rPr>
                      <w:rFonts w:hint="eastAsia"/>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生活垃圾</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一般固废</w:t>
                  </w:r>
                </w:p>
              </w:tc>
              <w:tc>
                <w:tcPr>
                  <w:tcW w:w="685" w:type="dxa"/>
                  <w:tcBorders>
                    <w:left w:val="single" w:color="auto" w:sz="4" w:space="0"/>
                    <w:right w:val="single" w:color="auto" w:sz="4" w:space="0"/>
                  </w:tcBorders>
                  <w:vAlign w:val="center"/>
                </w:tcPr>
                <w:p>
                  <w:pPr>
                    <w:ind w:leftChars="-11" w:hanging="23" w:hangingChars="11"/>
                    <w:jc w:val="center"/>
                  </w:pPr>
                  <w:r>
                    <w:rPr>
                      <w:rFonts w:hint="eastAsia"/>
                    </w:rPr>
                    <w:t>员工生活</w:t>
                  </w:r>
                </w:p>
              </w:tc>
              <w:tc>
                <w:tcPr>
                  <w:tcW w:w="428"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pPr>
                  <w:r>
                    <w:t>固</w:t>
                  </w:r>
                </w:p>
              </w:tc>
              <w:tc>
                <w:tcPr>
                  <w:tcW w:w="786" w:type="dxa"/>
                  <w:tcBorders>
                    <w:left w:val="single" w:color="auto" w:sz="6" w:space="0"/>
                    <w:right w:val="single" w:color="auto" w:sz="4" w:space="0"/>
                  </w:tcBorders>
                  <w:vAlign w:val="center"/>
                </w:tcPr>
                <w:p>
                  <w:pPr>
                    <w:adjustRightInd w:val="0"/>
                    <w:snapToGrid w:val="0"/>
                    <w:jc w:val="center"/>
                  </w:pPr>
                  <w:r>
                    <w:rPr>
                      <w:rFonts w:hint="eastAsia"/>
                    </w:rPr>
                    <w:t>/</w:t>
                  </w:r>
                </w:p>
              </w:tc>
              <w:tc>
                <w:tcPr>
                  <w:tcW w:w="508" w:type="dxa"/>
                  <w:tcBorders>
                    <w:left w:val="single" w:color="auto" w:sz="4" w:space="0"/>
                    <w:right w:val="single" w:color="auto" w:sz="4" w:space="0"/>
                  </w:tcBorders>
                  <w:vAlign w:val="center"/>
                </w:tcPr>
                <w:p>
                  <w:pPr>
                    <w:adjustRightInd w:val="0"/>
                    <w:snapToGrid w:val="0"/>
                    <w:jc w:val="center"/>
                  </w:pPr>
                  <w:r>
                    <w:rPr>
                      <w:rFonts w:hint="eastAsia"/>
                    </w:rPr>
                    <w:t>袋装</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99其他废物</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30</w:t>
                  </w:r>
                </w:p>
              </w:tc>
              <w:tc>
                <w:tcPr>
                  <w:tcW w:w="709" w:type="dxa"/>
                  <w:vMerge w:val="continue"/>
                  <w:tcBorders>
                    <w:left w:val="single" w:color="auto" w:sz="4" w:space="0"/>
                    <w:right w:val="single" w:color="auto" w:sz="4" w:space="0"/>
                  </w:tcBorders>
                  <w:vAlign w:val="center"/>
                </w:tcPr>
                <w:p>
                  <w:pPr>
                    <w:adjustRightInd w:val="0"/>
                    <w:snapToGrid w:val="0"/>
                    <w:jc w:val="center"/>
                  </w:pPr>
                </w:p>
              </w:tc>
              <w:tc>
                <w:tcPr>
                  <w:tcW w:w="855" w:type="dxa"/>
                  <w:tcBorders>
                    <w:left w:val="single" w:color="auto" w:sz="4" w:space="0"/>
                    <w:right w:val="single" w:color="auto" w:sz="4" w:space="0"/>
                  </w:tcBorders>
                  <w:vAlign w:val="center"/>
                </w:tcPr>
                <w:p>
                  <w:pPr>
                    <w:adjustRightInd w:val="0"/>
                    <w:snapToGrid w:val="0"/>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废布袋</w:t>
                  </w:r>
                </w:p>
              </w:tc>
              <w:tc>
                <w:tcPr>
                  <w:tcW w:w="5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一般固废</w:t>
                  </w:r>
                </w:p>
              </w:tc>
              <w:tc>
                <w:tcPr>
                  <w:tcW w:w="685" w:type="dxa"/>
                  <w:tcBorders>
                    <w:left w:val="single" w:color="auto" w:sz="4" w:space="0"/>
                    <w:right w:val="single" w:color="auto" w:sz="4" w:space="0"/>
                  </w:tcBorders>
                  <w:vAlign w:val="center"/>
                </w:tcPr>
                <w:p>
                  <w:pPr>
                    <w:ind w:leftChars="-11" w:hanging="23" w:hangingChars="11"/>
                    <w:jc w:val="center"/>
                  </w:pPr>
                  <w:r>
                    <w:rPr>
                      <w:rFonts w:hint="eastAsia"/>
                    </w:rPr>
                    <w:t>废气处理</w:t>
                  </w:r>
                </w:p>
              </w:tc>
              <w:tc>
                <w:tcPr>
                  <w:tcW w:w="428"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pPr>
                  <w:r>
                    <w:t>固</w:t>
                  </w:r>
                </w:p>
              </w:tc>
              <w:tc>
                <w:tcPr>
                  <w:tcW w:w="786" w:type="dxa"/>
                  <w:tcBorders>
                    <w:left w:val="single" w:color="auto" w:sz="6" w:space="0"/>
                    <w:right w:val="single" w:color="auto" w:sz="4" w:space="0"/>
                  </w:tcBorders>
                  <w:vAlign w:val="center"/>
                </w:tcPr>
                <w:p>
                  <w:pPr>
                    <w:adjustRightInd w:val="0"/>
                    <w:snapToGrid w:val="0"/>
                    <w:jc w:val="center"/>
                  </w:pPr>
                  <w:r>
                    <w:rPr>
                      <w:rFonts w:hint="eastAsia"/>
                    </w:rPr>
                    <w:t>/</w:t>
                  </w:r>
                </w:p>
              </w:tc>
              <w:tc>
                <w:tcPr>
                  <w:tcW w:w="508" w:type="dxa"/>
                  <w:tcBorders>
                    <w:left w:val="single" w:color="auto" w:sz="4" w:space="0"/>
                    <w:right w:val="single" w:color="auto" w:sz="4" w:space="0"/>
                  </w:tcBorders>
                  <w:vAlign w:val="center"/>
                </w:tcPr>
                <w:p>
                  <w:pPr>
                    <w:adjustRightInd w:val="0"/>
                    <w:snapToGrid w:val="0"/>
                    <w:jc w:val="center"/>
                  </w:pPr>
                  <w:r>
                    <w:rPr>
                      <w:rFonts w:hint="eastAsia"/>
                    </w:rPr>
                    <w:t>袋装</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99其他废物</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0.01</w:t>
                  </w:r>
                </w:p>
              </w:tc>
              <w:tc>
                <w:tcPr>
                  <w:tcW w:w="709" w:type="dxa"/>
                  <w:vMerge w:val="continue"/>
                  <w:tcBorders>
                    <w:left w:val="single" w:color="auto" w:sz="4" w:space="0"/>
                    <w:right w:val="single" w:color="auto" w:sz="4" w:space="0"/>
                  </w:tcBorders>
                  <w:vAlign w:val="center"/>
                </w:tcPr>
                <w:p>
                  <w:pPr>
                    <w:adjustRightInd w:val="0"/>
                    <w:snapToGrid w:val="0"/>
                    <w:jc w:val="center"/>
                  </w:pPr>
                </w:p>
              </w:tc>
              <w:tc>
                <w:tcPr>
                  <w:tcW w:w="855" w:type="dxa"/>
                  <w:tcBorders>
                    <w:left w:val="single" w:color="auto" w:sz="4" w:space="0"/>
                    <w:right w:val="single" w:color="auto" w:sz="4" w:space="0"/>
                  </w:tcBorders>
                  <w:vAlign w:val="center"/>
                </w:tcPr>
                <w:p>
                  <w:pPr>
                    <w:adjustRightInd w:val="0"/>
                    <w:snapToGrid w:val="0"/>
                    <w:jc w:val="center"/>
                  </w:pPr>
                  <w:r>
                    <w:rPr>
                      <w:rFonts w:hint="eastAsi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8" w:type="dxa"/>
                  <w:tcBorders>
                    <w:top w:val="single" w:color="auto" w:sz="4" w:space="0"/>
                    <w:left w:val="single" w:color="auto" w:sz="4" w:space="0"/>
                    <w:right w:val="single" w:color="auto" w:sz="4" w:space="0"/>
                  </w:tcBorders>
                  <w:vAlign w:val="center"/>
                </w:tcPr>
                <w:p>
                  <w:pPr>
                    <w:adjustRightInd w:val="0"/>
                    <w:snapToGrid w:val="0"/>
                    <w:jc w:val="center"/>
                  </w:pPr>
                  <w:r>
                    <w:rPr>
                      <w:rFonts w:hint="eastAsia"/>
                    </w:rPr>
                    <w:t>废活性炭</w:t>
                  </w:r>
                </w:p>
              </w:tc>
              <w:tc>
                <w:tcPr>
                  <w:tcW w:w="569" w:type="dxa"/>
                  <w:tcBorders>
                    <w:top w:val="single" w:color="auto" w:sz="4" w:space="0"/>
                    <w:left w:val="single" w:color="auto" w:sz="4" w:space="0"/>
                    <w:right w:val="single" w:color="auto" w:sz="4" w:space="0"/>
                  </w:tcBorders>
                  <w:vAlign w:val="center"/>
                </w:tcPr>
                <w:p>
                  <w:pPr>
                    <w:adjustRightInd w:val="0"/>
                    <w:snapToGrid w:val="0"/>
                    <w:jc w:val="center"/>
                  </w:pPr>
                  <w:r>
                    <w:rPr>
                      <w:rFonts w:hint="eastAsia"/>
                    </w:rPr>
                    <w:t>危险固废</w:t>
                  </w:r>
                </w:p>
              </w:tc>
              <w:tc>
                <w:tcPr>
                  <w:tcW w:w="685" w:type="dxa"/>
                  <w:tcBorders>
                    <w:left w:val="single" w:color="auto" w:sz="4" w:space="0"/>
                    <w:right w:val="single" w:color="auto" w:sz="4" w:space="0"/>
                  </w:tcBorders>
                  <w:vAlign w:val="center"/>
                </w:tcPr>
                <w:p>
                  <w:pPr>
                    <w:ind w:leftChars="-11" w:hanging="23" w:hangingChars="11"/>
                    <w:jc w:val="center"/>
                  </w:pPr>
                  <w:r>
                    <w:rPr>
                      <w:rFonts w:hint="eastAsia"/>
                    </w:rPr>
                    <w:t>废气处理</w:t>
                  </w:r>
                </w:p>
              </w:tc>
              <w:tc>
                <w:tcPr>
                  <w:tcW w:w="428"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pPr>
                  <w:r>
                    <w:rPr>
                      <w:rFonts w:hint="eastAsia"/>
                    </w:rPr>
                    <w:t>固</w:t>
                  </w:r>
                </w:p>
              </w:tc>
              <w:tc>
                <w:tcPr>
                  <w:tcW w:w="786" w:type="dxa"/>
                  <w:tcBorders>
                    <w:left w:val="single" w:color="auto" w:sz="6" w:space="0"/>
                    <w:bottom w:val="single" w:color="auto" w:sz="6" w:space="0"/>
                    <w:right w:val="single" w:color="auto" w:sz="4" w:space="0"/>
                  </w:tcBorders>
                  <w:vAlign w:val="center"/>
                </w:tcPr>
                <w:p>
                  <w:pPr>
                    <w:adjustRightInd w:val="0"/>
                    <w:snapToGrid w:val="0"/>
                    <w:jc w:val="center"/>
                  </w:pPr>
                  <w:r>
                    <w:rPr>
                      <w:rFonts w:hint="eastAsia"/>
                    </w:rPr>
                    <w:t>废活性炭</w:t>
                  </w:r>
                </w:p>
              </w:tc>
              <w:tc>
                <w:tcPr>
                  <w:tcW w:w="508" w:type="dxa"/>
                  <w:tcBorders>
                    <w:left w:val="single" w:color="auto" w:sz="4" w:space="0"/>
                    <w:bottom w:val="single" w:color="auto" w:sz="4" w:space="0"/>
                    <w:right w:val="single" w:color="auto" w:sz="4" w:space="0"/>
                  </w:tcBorders>
                  <w:vAlign w:val="center"/>
                </w:tcPr>
                <w:p>
                  <w:pPr>
                    <w:adjustRightInd w:val="0"/>
                    <w:snapToGrid w:val="0"/>
                    <w:jc w:val="center"/>
                  </w:pPr>
                  <w:r>
                    <w:rPr>
                      <w:rFonts w:hint="eastAsia"/>
                    </w:rPr>
                    <w:t>袋装</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类别HW49</w:t>
                  </w:r>
                </w:p>
                <w:p>
                  <w:pPr>
                    <w:pStyle w:val="2"/>
                    <w:jc w:val="center"/>
                    <w:rPr>
                      <w:sz w:val="21"/>
                      <w:szCs w:val="21"/>
                    </w:rPr>
                  </w:pPr>
                  <w:r>
                    <w:rPr>
                      <w:sz w:val="21"/>
                      <w:szCs w:val="21"/>
                    </w:rPr>
                    <w:t>代码900-039-49</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4.05</w:t>
                  </w:r>
                </w:p>
              </w:tc>
              <w:tc>
                <w:tcPr>
                  <w:tcW w:w="709" w:type="dxa"/>
                  <w:tcBorders>
                    <w:left w:val="single" w:color="auto" w:sz="4" w:space="0"/>
                    <w:right w:val="single" w:color="auto" w:sz="4" w:space="0"/>
                  </w:tcBorders>
                  <w:vAlign w:val="center"/>
                </w:tcPr>
                <w:p>
                  <w:pPr>
                    <w:adjustRightInd w:val="0"/>
                    <w:snapToGrid w:val="0"/>
                    <w:jc w:val="center"/>
                  </w:pPr>
                  <w:r>
                    <w:rPr>
                      <w:rFonts w:hint="eastAsia"/>
                    </w:rPr>
                    <w:t>委托有资质单位处置</w:t>
                  </w:r>
                </w:p>
              </w:tc>
              <w:tc>
                <w:tcPr>
                  <w:tcW w:w="855" w:type="dxa"/>
                  <w:tcBorders>
                    <w:left w:val="single" w:color="auto" w:sz="4" w:space="0"/>
                    <w:right w:val="single" w:color="auto" w:sz="4" w:space="0"/>
                  </w:tcBorders>
                  <w:vAlign w:val="center"/>
                </w:tcPr>
                <w:p>
                  <w:pPr>
                    <w:adjustRightInd w:val="0"/>
                    <w:snapToGrid w:val="0"/>
                    <w:jc w:val="center"/>
                  </w:pPr>
                  <w:r>
                    <w:rPr>
                      <w:rFonts w:hint="eastAsia"/>
                    </w:rPr>
                    <w:t>4.05</w:t>
                  </w:r>
                </w:p>
              </w:tc>
            </w:tr>
          </w:tbl>
          <w:p>
            <w:pPr>
              <w:pStyle w:val="46"/>
              <w:snapToGrid w:val="0"/>
              <w:spacing w:line="360" w:lineRule="auto"/>
              <w:ind w:firstLine="480" w:firstLineChars="200"/>
              <w:rPr>
                <w:sz w:val="24"/>
                <w:lang w:eastAsia="zh-CN"/>
              </w:rPr>
            </w:pPr>
            <w:r>
              <w:rPr>
                <w:sz w:val="24"/>
                <w:lang w:eastAsia="zh-CN"/>
              </w:rPr>
              <w:t>本项目生产运行过程中产生的各类固废均可得到有效的处理处置，不外排。</w:t>
            </w:r>
          </w:p>
          <w:p>
            <w:pPr>
              <w:pStyle w:val="46"/>
              <w:snapToGrid w:val="0"/>
              <w:spacing w:line="360" w:lineRule="auto"/>
              <w:ind w:firstLine="482" w:firstLineChars="200"/>
              <w:rPr>
                <w:b/>
                <w:bCs/>
                <w:sz w:val="24"/>
                <w:lang w:eastAsia="zh-CN"/>
              </w:rPr>
            </w:pPr>
            <w:r>
              <w:rPr>
                <w:rFonts w:hint="eastAsia"/>
                <w:b/>
                <w:bCs/>
                <w:sz w:val="24"/>
                <w:lang w:eastAsia="zh-CN"/>
              </w:rPr>
              <w:t>3、环境管理要求</w:t>
            </w:r>
          </w:p>
          <w:p>
            <w:pPr>
              <w:spacing w:line="360" w:lineRule="auto"/>
              <w:ind w:firstLine="480" w:firstLineChars="200"/>
              <w:rPr>
                <w:sz w:val="24"/>
              </w:rPr>
            </w:pPr>
            <w:r>
              <w:rPr>
                <w:sz w:val="24"/>
              </w:rPr>
              <w:t>一般工业固体废弃物处理措施和处置方案满足《一般工业固体废物贮存和填埋污染控制标准》（GB18599-2020）要求，危险废物贮存满足《危险废物贮存污染控制标准》（GB18597-2001）及修改单要求。</w:t>
            </w:r>
          </w:p>
          <w:p>
            <w:pPr>
              <w:spacing w:line="360" w:lineRule="auto"/>
              <w:ind w:firstLine="480" w:firstLineChars="200"/>
              <w:rPr>
                <w:sz w:val="24"/>
              </w:rPr>
            </w:pPr>
            <w:r>
              <w:rPr>
                <w:sz w:val="24"/>
              </w:rPr>
              <w:t>对于危险废物的收集、贮存和外运，应采取以下措施：</w:t>
            </w:r>
          </w:p>
          <w:p>
            <w:pPr>
              <w:spacing w:line="360" w:lineRule="auto"/>
              <w:ind w:firstLine="480" w:firstLineChars="200"/>
              <w:rPr>
                <w:sz w:val="24"/>
              </w:rPr>
            </w:pPr>
            <w:r>
              <w:rPr>
                <w:rFonts w:hint="eastAsia" w:ascii="宋体" w:hAnsi="宋体" w:cs="宋体"/>
                <w:sz w:val="24"/>
              </w:rPr>
              <w:t>①</w:t>
            </w:r>
            <w:r>
              <w:rPr>
                <w:sz w:val="24"/>
              </w:rPr>
              <w:t>企业应及时将生产过程产生的危险废物进行处理，在未处理期间，应集中收集，专人管理，集中贮存，各类危废应按性质不同分类进行贮存。</w:t>
            </w:r>
          </w:p>
          <w:p>
            <w:pPr>
              <w:spacing w:line="360" w:lineRule="auto"/>
              <w:ind w:firstLine="480" w:firstLineChars="200"/>
              <w:rPr>
                <w:sz w:val="24"/>
              </w:rPr>
            </w:pPr>
            <w:r>
              <w:rPr>
                <w:rFonts w:hint="eastAsia" w:ascii="宋体" w:hAnsi="宋体" w:cs="宋体"/>
                <w:sz w:val="24"/>
              </w:rPr>
              <w:t>②</w:t>
            </w:r>
            <w:r>
              <w:rPr>
                <w:sz w:val="24"/>
              </w:rPr>
              <w:t>工程应建设危险废物暂存库，危险废物贮存设施应满足《危险废物贮存污染控制标准》（GB18597-2001）的要求。贮存场所要防风、防雨、防晒，避开易燃、易爆危险品仓库、高压输电线路防护区域，基础必须防渗，防渗层为至少1米厚粘土层（渗透系数≤10</w:t>
            </w:r>
            <w:r>
              <w:rPr>
                <w:sz w:val="24"/>
                <w:vertAlign w:val="superscript"/>
              </w:rPr>
              <w:t>-7</w:t>
            </w:r>
            <w:r>
              <w:rPr>
                <w:sz w:val="24"/>
              </w:rPr>
              <w:t>厘米/秒），或2毫米厚高密度聚乙烯，或至少2毫米厚的其它人工材料，渗透系数≤10</w:t>
            </w:r>
            <w:r>
              <w:rPr>
                <w:sz w:val="24"/>
                <w:vertAlign w:val="superscript"/>
              </w:rPr>
              <w:t>-10</w:t>
            </w:r>
            <w:r>
              <w:rPr>
                <w:sz w:val="24"/>
              </w:rPr>
              <w:t>厘米/秒。</w:t>
            </w:r>
          </w:p>
          <w:p>
            <w:pPr>
              <w:spacing w:line="360" w:lineRule="auto"/>
              <w:ind w:firstLine="480" w:firstLineChars="200"/>
              <w:rPr>
                <w:sz w:val="24"/>
              </w:rPr>
            </w:pPr>
            <w:r>
              <w:rPr>
                <w:rFonts w:hint="eastAsia" w:ascii="宋体" w:hAnsi="宋体" w:cs="宋体"/>
                <w:sz w:val="24"/>
              </w:rPr>
              <w:t>③</w:t>
            </w:r>
            <w:r>
              <w:rPr>
                <w:sz w:val="24"/>
              </w:rPr>
              <w:t>危险废物的转移和运输应按《危险废物转移联单管理办法》的规定报批危险废物转移计划，填写好五联单转运手续，并必须交由有资质的单位承运。</w:t>
            </w:r>
          </w:p>
          <w:p>
            <w:pPr>
              <w:spacing w:line="360" w:lineRule="auto"/>
              <w:ind w:firstLine="480" w:firstLineChars="200"/>
              <w:rPr>
                <w:sz w:val="24"/>
              </w:rPr>
            </w:pPr>
            <w:r>
              <w:rPr>
                <w:sz w:val="24"/>
              </w:rPr>
              <w:t>经采取以上措施后，可确保本项目固体废物在产生、储存、运输、处置等各个环节均不会对环境产生明显影响。</w:t>
            </w:r>
          </w:p>
          <w:p>
            <w:pPr>
              <w:pStyle w:val="58"/>
              <w:ind w:firstLine="482"/>
              <w:jc w:val="left"/>
              <w:rPr>
                <w:b/>
              </w:rPr>
            </w:pPr>
            <w:r>
              <w:rPr>
                <w:rFonts w:hint="eastAsia"/>
                <w:b/>
              </w:rPr>
              <w:t>五、地下水</w:t>
            </w:r>
          </w:p>
          <w:p>
            <w:pPr>
              <w:snapToGrid w:val="0"/>
              <w:spacing w:line="360" w:lineRule="auto"/>
              <w:ind w:firstLine="482" w:firstLineChars="200"/>
              <w:contextualSpacing/>
              <w:jc w:val="left"/>
              <w:rPr>
                <w:b/>
                <w:sz w:val="24"/>
              </w:rPr>
            </w:pPr>
            <w:r>
              <w:rPr>
                <w:rFonts w:hint="eastAsia"/>
                <w:b/>
                <w:sz w:val="24"/>
              </w:rPr>
              <w:t>1、地下水污染源</w:t>
            </w:r>
          </w:p>
          <w:p>
            <w:pPr>
              <w:snapToGrid w:val="0"/>
              <w:spacing w:line="360" w:lineRule="auto"/>
              <w:ind w:firstLine="480" w:firstLineChars="200"/>
              <w:contextualSpacing/>
              <w:jc w:val="left"/>
              <w:rPr>
                <w:sz w:val="24"/>
              </w:rPr>
            </w:pPr>
            <w:r>
              <w:rPr>
                <w:rFonts w:hint="eastAsia"/>
                <w:sz w:val="24"/>
              </w:rPr>
              <w:t>本项目地下水污染源主要为厂区内污水处理站污水。</w:t>
            </w:r>
          </w:p>
          <w:p>
            <w:pPr>
              <w:snapToGrid w:val="0"/>
              <w:spacing w:line="360" w:lineRule="auto"/>
              <w:ind w:firstLine="482" w:firstLineChars="200"/>
              <w:contextualSpacing/>
              <w:jc w:val="left"/>
              <w:rPr>
                <w:b/>
                <w:sz w:val="24"/>
              </w:rPr>
            </w:pPr>
            <w:r>
              <w:rPr>
                <w:rFonts w:hint="eastAsia"/>
                <w:b/>
                <w:sz w:val="24"/>
              </w:rPr>
              <w:t>2、污染物类型和污染途径</w:t>
            </w:r>
          </w:p>
          <w:p>
            <w:pPr>
              <w:snapToGrid w:val="0"/>
              <w:spacing w:line="360" w:lineRule="auto"/>
              <w:ind w:firstLine="480" w:firstLineChars="200"/>
              <w:contextualSpacing/>
              <w:jc w:val="left"/>
              <w:rPr>
                <w:sz w:val="24"/>
              </w:rPr>
            </w:pPr>
            <w:r>
              <w:rPr>
                <w:rFonts w:hint="eastAsia"/>
                <w:sz w:val="24"/>
              </w:rPr>
              <w:t>本项目地下水污染物类型为其他类型，污染途径为包气带的渗透。</w:t>
            </w:r>
          </w:p>
          <w:p>
            <w:pPr>
              <w:snapToGrid w:val="0"/>
              <w:spacing w:line="360" w:lineRule="auto"/>
              <w:ind w:firstLine="482" w:firstLineChars="200"/>
              <w:contextualSpacing/>
              <w:jc w:val="left"/>
              <w:rPr>
                <w:b/>
                <w:sz w:val="24"/>
              </w:rPr>
            </w:pPr>
            <w:r>
              <w:rPr>
                <w:rFonts w:hint="eastAsia"/>
                <w:b/>
                <w:sz w:val="24"/>
              </w:rPr>
              <w:t>3、防治措施</w:t>
            </w:r>
          </w:p>
          <w:p>
            <w:pPr>
              <w:snapToGrid w:val="0"/>
              <w:spacing w:line="360" w:lineRule="auto"/>
              <w:ind w:firstLine="482" w:firstLineChars="200"/>
              <w:contextualSpacing/>
              <w:jc w:val="left"/>
              <w:rPr>
                <w:b/>
                <w:sz w:val="24"/>
              </w:rPr>
            </w:pPr>
            <w:r>
              <w:rPr>
                <w:rFonts w:hint="eastAsia"/>
                <w:b/>
                <w:sz w:val="24"/>
              </w:rPr>
              <w:t>（1）源头控制</w:t>
            </w:r>
          </w:p>
          <w:p>
            <w:pPr>
              <w:snapToGrid w:val="0"/>
              <w:spacing w:line="360" w:lineRule="auto"/>
              <w:ind w:firstLine="480" w:firstLineChars="200"/>
              <w:contextualSpacing/>
              <w:jc w:val="left"/>
              <w:rPr>
                <w:sz w:val="24"/>
              </w:rPr>
            </w:pPr>
            <w:r>
              <w:rPr>
                <w:sz w:val="24"/>
              </w:rPr>
              <w:t>源头控制措施是《中华人民共和国水污染防治法》的基本要求，坚持预防为主，防治结合，综合治理的原则，通过减少清洁水的使用量，减少污水排放，从源头上减少地下水污染源的产生，是符合地下水水污染防治的基本措施。</w:t>
            </w:r>
          </w:p>
          <w:p>
            <w:pPr>
              <w:snapToGrid w:val="0"/>
              <w:spacing w:line="360" w:lineRule="auto"/>
              <w:ind w:firstLine="482" w:firstLineChars="200"/>
              <w:contextualSpacing/>
              <w:jc w:val="left"/>
              <w:rPr>
                <w:b/>
                <w:sz w:val="24"/>
              </w:rPr>
            </w:pPr>
            <w:r>
              <w:rPr>
                <w:b/>
                <w:sz w:val="24"/>
              </w:rPr>
              <w:t>（2）分区防渗措施</w:t>
            </w:r>
          </w:p>
          <w:p>
            <w:pPr>
              <w:snapToGrid w:val="0"/>
              <w:spacing w:line="360" w:lineRule="auto"/>
              <w:ind w:firstLine="480" w:firstLineChars="200"/>
              <w:contextualSpacing/>
              <w:jc w:val="left"/>
              <w:rPr>
                <w:sz w:val="24"/>
              </w:rPr>
            </w:pPr>
            <w:r>
              <w:rPr>
                <w:sz w:val="24"/>
              </w:rPr>
              <w:t>1）根据可能造成地下水污染的影响程度的不同，将全厂进行分区防治，分别是：一般污染防渗区、重点污染防渗区及特殊污染防渗区。本项目无特殊防渗区。重点污染防渗区为</w:t>
            </w:r>
            <w:r>
              <w:rPr>
                <w:rFonts w:hint="eastAsia"/>
                <w:sz w:val="24"/>
              </w:rPr>
              <w:t>污水处理站</w:t>
            </w:r>
            <w:r>
              <w:rPr>
                <w:sz w:val="24"/>
              </w:rPr>
              <w:t>等；除重点防渗区之外的区域和办公生活区域为一般污染防渗区。</w:t>
            </w:r>
          </w:p>
          <w:p>
            <w:pPr>
              <w:snapToGrid w:val="0"/>
              <w:spacing w:line="360" w:lineRule="auto"/>
              <w:ind w:firstLine="480" w:firstLineChars="200"/>
              <w:jc w:val="left"/>
              <w:rPr>
                <w:sz w:val="24"/>
              </w:rPr>
            </w:pPr>
            <w:r>
              <w:rPr>
                <w:sz w:val="24"/>
              </w:rPr>
              <w:t>2）对于重点污染防治区，</w:t>
            </w:r>
            <w:r>
              <w:rPr>
                <w:rFonts w:hint="eastAsia"/>
                <w:sz w:val="24"/>
              </w:rPr>
              <w:t>污水处理站</w:t>
            </w:r>
            <w:r>
              <w:rPr>
                <w:sz w:val="24"/>
              </w:rPr>
              <w:t>等，均进行防渗处理，使其渗透系数≤10</w:t>
            </w:r>
            <w:r>
              <w:rPr>
                <w:sz w:val="24"/>
                <w:vertAlign w:val="superscript"/>
              </w:rPr>
              <w:t>-7</w:t>
            </w:r>
            <w:r>
              <w:rPr>
                <w:sz w:val="24"/>
              </w:rPr>
              <w:t>厘米/秒。需采用防渗措施如下：</w:t>
            </w:r>
            <w:r>
              <w:rPr>
                <w:rFonts w:hint="eastAsia" w:ascii="宋体" w:hAnsi="宋体" w:cs="宋体"/>
                <w:sz w:val="24"/>
              </w:rPr>
              <w:t>①</w:t>
            </w:r>
            <w:r>
              <w:rPr>
                <w:sz w:val="24"/>
              </w:rPr>
              <w:t>地面先用素粘土夯实1m；</w:t>
            </w:r>
            <w:r>
              <w:rPr>
                <w:rFonts w:hint="eastAsia" w:ascii="宋体" w:hAnsi="宋体" w:cs="宋体"/>
                <w:sz w:val="24"/>
              </w:rPr>
              <w:t>②</w:t>
            </w:r>
            <w:r>
              <w:rPr>
                <w:sz w:val="24"/>
              </w:rPr>
              <w:t>用2mm厚高密度聚乙烯覆盖；</w:t>
            </w:r>
            <w:r>
              <w:rPr>
                <w:rFonts w:hint="eastAsia" w:ascii="宋体" w:hAnsi="宋体" w:cs="宋体"/>
                <w:sz w:val="24"/>
              </w:rPr>
              <w:t>③</w:t>
            </w:r>
            <w:r>
              <w:rPr>
                <w:sz w:val="24"/>
              </w:rPr>
              <w:t>用卵石铺20mm热沥青胶结，高标号混凝土浇筑；</w:t>
            </w:r>
            <w:r>
              <w:rPr>
                <w:rFonts w:hint="eastAsia" w:ascii="宋体" w:hAnsi="宋体" w:cs="宋体"/>
                <w:sz w:val="24"/>
              </w:rPr>
              <w:t>④</w:t>
            </w:r>
            <w:r>
              <w:rPr>
                <w:sz w:val="24"/>
              </w:rPr>
              <w:t>钢筋砼结构浇筑成型；</w:t>
            </w:r>
            <w:r>
              <w:rPr>
                <w:rFonts w:hint="eastAsia" w:ascii="宋体" w:hAnsi="宋体" w:cs="宋体"/>
                <w:sz w:val="24"/>
              </w:rPr>
              <w:t>⑤</w:t>
            </w:r>
            <w:r>
              <w:rPr>
                <w:sz w:val="24"/>
              </w:rPr>
              <w:t>池壁或围堰内壁铺一层2mm后的防腐材料。</w:t>
            </w:r>
          </w:p>
          <w:p>
            <w:pPr>
              <w:snapToGrid w:val="0"/>
              <w:spacing w:line="360" w:lineRule="auto"/>
              <w:ind w:firstLine="480" w:firstLineChars="200"/>
              <w:jc w:val="left"/>
              <w:rPr>
                <w:sz w:val="24"/>
              </w:rPr>
            </w:pPr>
            <w:r>
              <w:rPr>
                <w:sz w:val="24"/>
              </w:rPr>
              <w:t>3）对于一般污染防治区，按照《一般工业固体废物贮存、处置场污染控制标准》（GB18599-2001）的有关要求进行设计，严禁物料在室外露天堆放，厂房内地面采用水泥硬化，基础进行防渗处理。</w:t>
            </w:r>
          </w:p>
          <w:p>
            <w:pPr>
              <w:snapToGrid w:val="0"/>
              <w:spacing w:line="360" w:lineRule="auto"/>
              <w:ind w:firstLine="480" w:firstLineChars="200"/>
              <w:jc w:val="left"/>
              <w:rPr>
                <w:sz w:val="24"/>
              </w:rPr>
            </w:pPr>
            <w:r>
              <w:rPr>
                <w:sz w:val="24"/>
              </w:rPr>
              <w:t>4）严格材料的验收、检查制度，管道在搬运、存放时要按要求执行，管材和管制件按标准严格进行防腐；应用管道连接、防腐等方面的先进施工技术。一般情况下，承插接口应采用橡胶圈密封的柔性接口技术，金属管内壁采用涂水泥沙浆或树脂的防腐技术；焊接、粘接的管道应考虑涨缩性问题，采用相应的施工技术，如适当距离安装柔性接口、伸缩器或U形弯管；同时管道阀门设专用防渗管沟，管沟上设活动观察顶盖，以便出现渗漏问题及时发现解决。严格按照施工图及施工规范按照，不可随意变更设计；做好管道试水试压工作，严格按验收规程进行，认真做好管道施工竣工图绘制，及时归档备案，方便管网维修、管理。</w:t>
            </w:r>
          </w:p>
          <w:p>
            <w:pPr>
              <w:snapToGrid w:val="0"/>
              <w:spacing w:line="360" w:lineRule="auto"/>
              <w:ind w:firstLine="480" w:firstLineChars="200"/>
              <w:jc w:val="left"/>
              <w:rPr>
                <w:sz w:val="24"/>
              </w:rPr>
            </w:pPr>
            <w:r>
              <w:rPr>
                <w:sz w:val="24"/>
              </w:rPr>
              <w:t>全厂防腐、防渗等防止地下水污染预防措施见下表。</w:t>
            </w:r>
          </w:p>
          <w:p>
            <w:pPr>
              <w:pStyle w:val="60"/>
              <w:adjustRightInd w:val="0"/>
              <w:snapToGrid w:val="0"/>
              <w:spacing w:beforeLines="0" w:line="360" w:lineRule="auto"/>
            </w:pPr>
            <w:r>
              <w:t>表</w:t>
            </w:r>
            <w:r>
              <w:rPr>
                <w:rFonts w:hint="eastAsia"/>
              </w:rPr>
              <w:t>4-16</w:t>
            </w:r>
            <w:r>
              <w:t xml:space="preserve">  全厂防腐、防渗等预防措施</w:t>
            </w:r>
          </w:p>
          <w:tbl>
            <w:tblPr>
              <w:tblStyle w:val="22"/>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317"/>
              <w:gridCol w:w="5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96" w:type="dxa"/>
                  <w:tcBorders>
                    <w:top w:val="single" w:color="auto" w:sz="4" w:space="0"/>
                    <w:left w:val="single" w:color="auto" w:sz="4" w:space="0"/>
                    <w:bottom w:val="single" w:color="auto" w:sz="4" w:space="0"/>
                    <w:right w:val="single" w:color="auto" w:sz="4" w:space="0"/>
                  </w:tcBorders>
                  <w:vAlign w:val="center"/>
                </w:tcPr>
                <w:p>
                  <w:pPr>
                    <w:pStyle w:val="61"/>
                    <w:rPr>
                      <w:b/>
                      <w:szCs w:val="21"/>
                    </w:rPr>
                  </w:pPr>
                  <w:r>
                    <w:rPr>
                      <w:b/>
                      <w:szCs w:val="21"/>
                    </w:rPr>
                    <w:t>区域</w:t>
                  </w:r>
                </w:p>
              </w:tc>
              <w:tc>
                <w:tcPr>
                  <w:tcW w:w="2490" w:type="dxa"/>
                  <w:tcBorders>
                    <w:top w:val="single" w:color="auto" w:sz="4" w:space="0"/>
                    <w:left w:val="single" w:color="auto" w:sz="4" w:space="0"/>
                    <w:bottom w:val="single" w:color="auto" w:sz="4" w:space="0"/>
                    <w:right w:val="single" w:color="auto" w:sz="4" w:space="0"/>
                  </w:tcBorders>
                  <w:vAlign w:val="center"/>
                </w:tcPr>
                <w:p>
                  <w:pPr>
                    <w:pStyle w:val="61"/>
                    <w:rPr>
                      <w:b/>
                      <w:szCs w:val="21"/>
                    </w:rPr>
                  </w:pPr>
                  <w:r>
                    <w:rPr>
                      <w:b/>
                      <w:szCs w:val="21"/>
                    </w:rPr>
                    <w:t>名称</w:t>
                  </w:r>
                </w:p>
              </w:tc>
              <w:tc>
                <w:tcPr>
                  <w:tcW w:w="5460" w:type="dxa"/>
                  <w:tcBorders>
                    <w:top w:val="single" w:color="auto" w:sz="4" w:space="0"/>
                    <w:left w:val="single" w:color="auto" w:sz="4" w:space="0"/>
                    <w:bottom w:val="single" w:color="auto" w:sz="4" w:space="0"/>
                    <w:right w:val="single" w:color="auto" w:sz="4" w:space="0"/>
                  </w:tcBorders>
                  <w:vAlign w:val="center"/>
                </w:tcPr>
                <w:p>
                  <w:pPr>
                    <w:pStyle w:val="61"/>
                    <w:rPr>
                      <w:b/>
                      <w:szCs w:val="21"/>
                    </w:rPr>
                  </w:pPr>
                  <w:r>
                    <w:rPr>
                      <w:b/>
                      <w:szCs w:val="21"/>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pStyle w:val="61"/>
                    <w:rPr>
                      <w:szCs w:val="21"/>
                    </w:rPr>
                  </w:pPr>
                  <w:r>
                    <w:rPr>
                      <w:szCs w:val="21"/>
                    </w:rPr>
                    <w:t>重点区域</w:t>
                  </w:r>
                </w:p>
              </w:tc>
              <w:tc>
                <w:tcPr>
                  <w:tcW w:w="2490" w:type="dxa"/>
                  <w:tcBorders>
                    <w:top w:val="single" w:color="auto" w:sz="4" w:space="0"/>
                    <w:left w:val="single" w:color="auto" w:sz="4" w:space="0"/>
                    <w:bottom w:val="single" w:color="auto" w:sz="4" w:space="0"/>
                    <w:right w:val="single" w:color="auto" w:sz="4" w:space="0"/>
                  </w:tcBorders>
                  <w:vAlign w:val="center"/>
                </w:tcPr>
                <w:p>
                  <w:pPr>
                    <w:pStyle w:val="61"/>
                    <w:rPr>
                      <w:szCs w:val="21"/>
                    </w:rPr>
                  </w:pPr>
                  <w:r>
                    <w:rPr>
                      <w:szCs w:val="21"/>
                    </w:rPr>
                    <w:t>危险废物临时贮存场所、</w:t>
                  </w:r>
                  <w:r>
                    <w:rPr>
                      <w:rFonts w:hint="eastAsia"/>
                      <w:szCs w:val="21"/>
                    </w:rPr>
                    <w:t>污水处理站</w:t>
                  </w:r>
                </w:p>
              </w:tc>
              <w:tc>
                <w:tcPr>
                  <w:tcW w:w="5460" w:type="dxa"/>
                  <w:tcBorders>
                    <w:top w:val="single" w:color="auto" w:sz="4" w:space="0"/>
                    <w:left w:val="single" w:color="auto" w:sz="4" w:space="0"/>
                    <w:bottom w:val="single" w:color="auto" w:sz="4" w:space="0"/>
                    <w:right w:val="single" w:color="auto" w:sz="4" w:space="0"/>
                  </w:tcBorders>
                  <w:vAlign w:val="center"/>
                </w:tcPr>
                <w:p>
                  <w:pPr>
                    <w:pStyle w:val="61"/>
                    <w:rPr>
                      <w:szCs w:val="21"/>
                    </w:rPr>
                  </w:pPr>
                  <w:r>
                    <w:rPr>
                      <w:szCs w:val="21"/>
                    </w:rPr>
                    <w:t>污水输送、收集管道、废水处理装置、危险废物暂存场所。防渗要求：对废水收集沟渠、管网、阀门严格质量管理，如发现问题，应及时解决。管沟、污水渠与污水集水井相连，并设计不低于 5‰的排水坡度，便于废水排至集水井统一处理。要做好沿途污水管网的防渗工作。工程管道 DN500 及以上管道采用钢筋混凝土管，管径小于 DN500的管道采用 HDPE 管。两种管材防水性均较好。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pStyle w:val="61"/>
                    <w:rPr>
                      <w:szCs w:val="21"/>
                    </w:rPr>
                  </w:pPr>
                  <w:r>
                    <w:rPr>
                      <w:szCs w:val="21"/>
                    </w:rPr>
                    <w:t>一般</w:t>
                  </w:r>
                </w:p>
                <w:p>
                  <w:pPr>
                    <w:pStyle w:val="61"/>
                    <w:rPr>
                      <w:szCs w:val="21"/>
                    </w:rPr>
                  </w:pPr>
                  <w:r>
                    <w:rPr>
                      <w:szCs w:val="21"/>
                    </w:rPr>
                    <w:t>区域</w:t>
                  </w:r>
                </w:p>
              </w:tc>
              <w:tc>
                <w:tcPr>
                  <w:tcW w:w="2490" w:type="dxa"/>
                  <w:tcBorders>
                    <w:top w:val="single" w:color="auto" w:sz="4" w:space="0"/>
                    <w:left w:val="single" w:color="auto" w:sz="4" w:space="0"/>
                    <w:bottom w:val="single" w:color="auto" w:sz="4" w:space="0"/>
                    <w:right w:val="single" w:color="auto" w:sz="4" w:space="0"/>
                  </w:tcBorders>
                  <w:vAlign w:val="center"/>
                </w:tcPr>
                <w:p>
                  <w:pPr>
                    <w:pStyle w:val="61"/>
                    <w:rPr>
                      <w:szCs w:val="21"/>
                    </w:rPr>
                  </w:pPr>
                  <w:r>
                    <w:rPr>
                      <w:szCs w:val="21"/>
                    </w:rPr>
                    <w:t>生产车间其他区域、办公生活区等一般区域</w:t>
                  </w:r>
                </w:p>
              </w:tc>
              <w:tc>
                <w:tcPr>
                  <w:tcW w:w="5460" w:type="dxa"/>
                  <w:tcBorders>
                    <w:top w:val="single" w:color="auto" w:sz="4" w:space="0"/>
                    <w:left w:val="single" w:color="auto" w:sz="4" w:space="0"/>
                    <w:bottom w:val="single" w:color="auto" w:sz="4" w:space="0"/>
                    <w:right w:val="single" w:color="auto" w:sz="4" w:space="0"/>
                  </w:tcBorders>
                  <w:vAlign w:val="center"/>
                </w:tcPr>
                <w:p>
                  <w:pPr>
                    <w:pStyle w:val="61"/>
                    <w:rPr>
                      <w:szCs w:val="21"/>
                    </w:rPr>
                  </w:pPr>
                  <w:r>
                    <w:rPr>
                      <w:szCs w:val="21"/>
                    </w:rPr>
                    <w:t xml:space="preserve">防渗要求：地面基础防渗和构筑物防渗等级达到渗透系数≤1.0×10 </w:t>
                  </w:r>
                  <w:r>
                    <w:rPr>
                      <w:szCs w:val="21"/>
                      <w:vertAlign w:val="superscript"/>
                    </w:rPr>
                    <w:t>-7</w:t>
                  </w:r>
                  <w:r>
                    <w:rPr>
                      <w:szCs w:val="21"/>
                    </w:rPr>
                    <w:t xml:space="preserve"> cm/s，相当于不小于 1.5m 厚的粘土防护层。</w:t>
                  </w:r>
                </w:p>
              </w:tc>
            </w:tr>
          </w:tbl>
          <w:p>
            <w:pPr>
              <w:snapToGrid w:val="0"/>
              <w:spacing w:line="360" w:lineRule="auto"/>
              <w:ind w:firstLine="482" w:firstLineChars="200"/>
              <w:jc w:val="left"/>
              <w:rPr>
                <w:b/>
                <w:bCs/>
                <w:sz w:val="24"/>
              </w:rPr>
            </w:pPr>
            <w:r>
              <w:rPr>
                <w:b/>
                <w:bCs/>
                <w:sz w:val="24"/>
              </w:rPr>
              <w:t>（3）地下分区污染防治措施</w:t>
            </w:r>
          </w:p>
          <w:p>
            <w:pPr>
              <w:snapToGrid w:val="0"/>
              <w:spacing w:line="360" w:lineRule="auto"/>
              <w:ind w:firstLine="480" w:firstLineChars="200"/>
              <w:jc w:val="left"/>
              <w:rPr>
                <w:sz w:val="24"/>
              </w:rPr>
            </w:pPr>
            <w:r>
              <w:rPr>
                <w:sz w:val="24"/>
              </w:rPr>
              <w:t>1）针对不同的污染防治区，建立场地区地下水环境监控体系，包括建立地下水污染监控制度和环境管理体系、制定监测计划、配备先进的检测仪器和设备，以便及时发现问题，及时采取措施；</w:t>
            </w:r>
          </w:p>
          <w:p>
            <w:pPr>
              <w:snapToGrid w:val="0"/>
              <w:spacing w:line="360" w:lineRule="auto"/>
              <w:ind w:firstLine="480" w:firstLineChars="200"/>
              <w:jc w:val="left"/>
              <w:rPr>
                <w:sz w:val="24"/>
              </w:rPr>
            </w:pPr>
            <w:r>
              <w:rPr>
                <w:sz w:val="24"/>
              </w:rPr>
              <w:t>2）应按照相应要求做好厂区内防渗工程，同时定期检查污水处理设施构筑物池体、污水管道、车间地面的情况，若墙体或管道出现裂隙等问题，应立即停产抢修；</w:t>
            </w:r>
          </w:p>
          <w:p>
            <w:pPr>
              <w:tabs>
                <w:tab w:val="left" w:pos="0"/>
              </w:tabs>
              <w:snapToGrid w:val="0"/>
              <w:spacing w:line="360" w:lineRule="auto"/>
              <w:ind w:firstLine="480" w:firstLineChars="200"/>
              <w:jc w:val="left"/>
              <w:rPr>
                <w:sz w:val="24"/>
              </w:rPr>
            </w:pPr>
            <w:r>
              <w:rPr>
                <w:sz w:val="24"/>
              </w:rPr>
              <w:t>3）厂区内管道，特别是污水管道应尽量采取地面明沟架空敷设，以避免由于埋地管道泄漏而造成的地下水污染，必要地下管道必须采取两层管，内层采用耐压塑料管，外层再加一层水泥管道；管道内衬防渗膜，须具有耐酸、耐碱和经久耐用的特性，可有效防止渗漏。</w:t>
            </w:r>
          </w:p>
          <w:p>
            <w:pPr>
              <w:pStyle w:val="58"/>
              <w:ind w:firstLine="480"/>
              <w:jc w:val="left"/>
            </w:pPr>
            <w:r>
              <w:t>综上所述，本项目建成后应切实加强对项目的原料和危险废物的管理，按照有关的规范要求对场址采取防渗、防漏、防雨等安全措施，可以避免项目对周边地下水产生明显影响。</w:t>
            </w:r>
          </w:p>
          <w:p>
            <w:pPr>
              <w:pStyle w:val="46"/>
              <w:snapToGrid w:val="0"/>
              <w:spacing w:line="360" w:lineRule="auto"/>
              <w:ind w:firstLine="482" w:firstLineChars="200"/>
              <w:rPr>
                <w:b/>
                <w:bCs/>
                <w:sz w:val="24"/>
                <w:lang w:eastAsia="zh-CN"/>
              </w:rPr>
            </w:pPr>
            <w:r>
              <w:rPr>
                <w:rFonts w:hint="eastAsia"/>
                <w:b/>
                <w:bCs/>
                <w:sz w:val="24"/>
                <w:lang w:eastAsia="zh-CN"/>
              </w:rPr>
              <w:t>六、土壤</w:t>
            </w:r>
          </w:p>
          <w:p>
            <w:pPr>
              <w:snapToGrid w:val="0"/>
              <w:spacing w:line="360" w:lineRule="auto"/>
              <w:ind w:firstLine="482" w:firstLineChars="200"/>
              <w:contextualSpacing/>
              <w:jc w:val="left"/>
              <w:rPr>
                <w:b/>
                <w:sz w:val="24"/>
              </w:rPr>
            </w:pPr>
            <w:r>
              <w:rPr>
                <w:rFonts w:hint="eastAsia"/>
                <w:b/>
                <w:sz w:val="24"/>
              </w:rPr>
              <w:t>1、土壤污染源</w:t>
            </w:r>
          </w:p>
          <w:p>
            <w:pPr>
              <w:snapToGrid w:val="0"/>
              <w:spacing w:line="360" w:lineRule="auto"/>
              <w:ind w:firstLine="480" w:firstLineChars="200"/>
              <w:contextualSpacing/>
              <w:jc w:val="left"/>
              <w:rPr>
                <w:sz w:val="24"/>
              </w:rPr>
            </w:pPr>
            <w:r>
              <w:rPr>
                <w:rFonts w:hint="eastAsia"/>
                <w:sz w:val="24"/>
              </w:rPr>
              <w:t>本项目土壤污染源主要为厂区内污水处理站污水。</w:t>
            </w:r>
          </w:p>
          <w:p>
            <w:pPr>
              <w:snapToGrid w:val="0"/>
              <w:spacing w:line="360" w:lineRule="auto"/>
              <w:ind w:firstLine="482" w:firstLineChars="200"/>
              <w:contextualSpacing/>
              <w:jc w:val="left"/>
              <w:rPr>
                <w:b/>
                <w:sz w:val="24"/>
              </w:rPr>
            </w:pPr>
            <w:r>
              <w:rPr>
                <w:rFonts w:hint="eastAsia"/>
                <w:b/>
                <w:sz w:val="24"/>
              </w:rPr>
              <w:t>2、污染物类型和污染途径</w:t>
            </w:r>
          </w:p>
          <w:p>
            <w:pPr>
              <w:snapToGrid w:val="0"/>
              <w:spacing w:line="360" w:lineRule="auto"/>
              <w:ind w:firstLine="480" w:firstLineChars="200"/>
              <w:contextualSpacing/>
              <w:jc w:val="left"/>
              <w:rPr>
                <w:sz w:val="24"/>
              </w:rPr>
            </w:pPr>
            <w:r>
              <w:rPr>
                <w:rFonts w:hint="eastAsia"/>
                <w:sz w:val="24"/>
              </w:rPr>
              <w:t>本项目土壤污染物类型为其他类型，污染途径为垂直</w:t>
            </w:r>
            <w:r>
              <w:rPr>
                <w:rFonts w:hint="eastAsia"/>
                <w:bCs/>
                <w:sz w:val="24"/>
              </w:rPr>
              <w:t>入渗</w:t>
            </w:r>
            <w:r>
              <w:rPr>
                <w:rFonts w:hint="eastAsia"/>
                <w:sz w:val="24"/>
              </w:rPr>
              <w:t>。</w:t>
            </w:r>
          </w:p>
          <w:p>
            <w:pPr>
              <w:snapToGrid w:val="0"/>
              <w:spacing w:line="360" w:lineRule="auto"/>
              <w:ind w:firstLine="482" w:firstLineChars="200"/>
              <w:contextualSpacing/>
              <w:jc w:val="left"/>
              <w:rPr>
                <w:b/>
                <w:sz w:val="24"/>
              </w:rPr>
            </w:pPr>
            <w:r>
              <w:rPr>
                <w:rFonts w:hint="eastAsia"/>
                <w:b/>
                <w:sz w:val="24"/>
              </w:rPr>
              <w:t>3、防治措施</w:t>
            </w:r>
          </w:p>
          <w:p>
            <w:pPr>
              <w:snapToGrid w:val="0"/>
              <w:spacing w:line="360" w:lineRule="auto"/>
              <w:ind w:firstLine="480" w:firstLineChars="200"/>
              <w:contextualSpacing/>
              <w:jc w:val="left"/>
              <w:rPr>
                <w:b/>
                <w:sz w:val="24"/>
              </w:rPr>
            </w:pPr>
            <w:r>
              <w:rPr>
                <w:rFonts w:hint="eastAsia"/>
                <w:bCs/>
                <w:sz w:val="24"/>
              </w:rPr>
              <w:t>（1）源头控制</w:t>
            </w:r>
          </w:p>
          <w:p>
            <w:pPr>
              <w:widowControl/>
              <w:spacing w:line="360" w:lineRule="auto"/>
              <w:ind w:firstLine="480" w:firstLineChars="200"/>
              <w:jc w:val="left"/>
              <w:rPr>
                <w:bCs/>
                <w:sz w:val="24"/>
              </w:rPr>
            </w:pPr>
            <w:r>
              <w:rPr>
                <w:rFonts w:hint="eastAsia"/>
                <w:bCs/>
                <w:sz w:val="24"/>
              </w:rPr>
              <w:t>项目污水配套完善的废水处理装置，生活污水经化粪池预处理后与生产污水排入厂区内污水处理站处理后排入滁州市第二污水处理厂。经过处理后，在源头上有效控制污染物的产生，从而降低污染物对土壤环境的污染。</w:t>
            </w:r>
          </w:p>
          <w:p>
            <w:pPr>
              <w:widowControl/>
              <w:spacing w:line="360" w:lineRule="auto"/>
              <w:ind w:firstLine="480" w:firstLineChars="200"/>
              <w:jc w:val="left"/>
              <w:rPr>
                <w:bCs/>
                <w:sz w:val="24"/>
              </w:rPr>
            </w:pPr>
            <w:r>
              <w:rPr>
                <w:rFonts w:hint="eastAsia"/>
                <w:bCs/>
                <w:sz w:val="24"/>
              </w:rPr>
              <w:t>（2）过程防控</w:t>
            </w:r>
          </w:p>
          <w:p>
            <w:pPr>
              <w:widowControl/>
              <w:spacing w:line="360" w:lineRule="auto"/>
              <w:ind w:firstLine="480" w:firstLineChars="200"/>
              <w:jc w:val="left"/>
              <w:rPr>
                <w:bCs/>
                <w:sz w:val="24"/>
              </w:rPr>
            </w:pPr>
            <w:r>
              <w:rPr>
                <w:rFonts w:hint="eastAsia"/>
                <w:bCs/>
                <w:sz w:val="24"/>
              </w:rPr>
              <w:t>为避免垂直入渗影响，针对污水处理站等重点区域进行防渗，主要包括在工艺、管道、设备、储存及处理构筑物采取相应措施，防止和降低污染物跑、冒、滴漏，将污染物泄漏的环境风险事故降到最低程度。</w:t>
            </w:r>
          </w:p>
          <w:p>
            <w:pPr>
              <w:widowControl/>
              <w:spacing w:line="360" w:lineRule="auto"/>
              <w:ind w:firstLine="480" w:firstLineChars="200"/>
              <w:jc w:val="left"/>
              <w:rPr>
                <w:bCs/>
                <w:sz w:val="24"/>
              </w:rPr>
            </w:pPr>
            <w:r>
              <w:rPr>
                <w:rFonts w:hint="eastAsia"/>
                <w:bCs/>
                <w:sz w:val="24"/>
              </w:rPr>
              <w:t>（3）跟踪监测</w:t>
            </w:r>
          </w:p>
          <w:p>
            <w:pPr>
              <w:widowControl/>
              <w:spacing w:line="360" w:lineRule="auto"/>
              <w:ind w:firstLine="480" w:firstLineChars="200"/>
              <w:jc w:val="left"/>
              <w:rPr>
                <w:sz w:val="24"/>
              </w:rPr>
            </w:pPr>
            <w:r>
              <w:rPr>
                <w:rFonts w:hint="eastAsia"/>
                <w:bCs/>
                <w:sz w:val="24"/>
              </w:rPr>
              <w:t>根据《环境影响评价技术导则 土壤环境（试行）》（HJ964-2018）的要求，必要时制定跟踪监测计划，建立厂房周边土壤跟踪监测制度，以便及时发现问题，采取措施。</w:t>
            </w:r>
          </w:p>
          <w:p>
            <w:pPr>
              <w:spacing w:line="360" w:lineRule="auto"/>
              <w:ind w:firstLine="482" w:firstLineChars="200"/>
              <w:rPr>
                <w:rFonts w:hAnsi="宋体"/>
                <w:b/>
                <w:sz w:val="24"/>
              </w:rPr>
            </w:pPr>
            <w:r>
              <w:rPr>
                <w:rFonts w:hint="eastAsia" w:hAnsi="宋体"/>
                <w:b/>
                <w:sz w:val="24"/>
              </w:rPr>
              <w:t>七、生态</w:t>
            </w:r>
          </w:p>
          <w:p>
            <w:pPr>
              <w:spacing w:line="360" w:lineRule="auto"/>
              <w:ind w:firstLine="480" w:firstLineChars="200"/>
              <w:rPr>
                <w:rFonts w:hAnsi="宋体"/>
                <w:sz w:val="24"/>
              </w:rPr>
            </w:pPr>
            <w:r>
              <w:rPr>
                <w:rFonts w:hint="eastAsia" w:hAnsi="宋体"/>
                <w:sz w:val="24"/>
              </w:rPr>
              <w:t>本项目位于滁州市苏滁产业园常州南路611号，</w:t>
            </w:r>
            <w:r>
              <w:rPr>
                <w:rFonts w:hint="eastAsia"/>
                <w:sz w:val="24"/>
              </w:rPr>
              <w:t>属于</w:t>
            </w:r>
            <w:r>
              <w:rPr>
                <w:sz w:val="24"/>
              </w:rPr>
              <w:t>新增用地</w:t>
            </w:r>
            <w:r>
              <w:rPr>
                <w:rFonts w:hint="eastAsia"/>
                <w:sz w:val="24"/>
              </w:rPr>
              <w:t>，用地范围内无生态环境保护目标</w:t>
            </w:r>
            <w:r>
              <w:rPr>
                <w:sz w:val="24"/>
              </w:rPr>
              <w:t>。</w:t>
            </w:r>
            <w:r>
              <w:rPr>
                <w:rFonts w:hint="eastAsia" w:hAnsi="宋体"/>
                <w:sz w:val="24"/>
              </w:rPr>
              <w:t>项目周边为道路、企业等，无大面积的自然植被群落及珍稀动植物资源。项目实施后，随着人口的增加和生产的正常运行，水和能源的消耗量都将增加，与此同时项目产生的废水、固废也将增加。若处理不当，则可能会对邻近区域的环境造成污染。因此在建设过程中，一定要按生态规律要求，协调处理好项目建设和生态环境保护之间的关系。</w:t>
            </w:r>
          </w:p>
          <w:p>
            <w:pPr>
              <w:spacing w:line="360" w:lineRule="auto"/>
              <w:ind w:firstLine="482" w:firstLineChars="200"/>
              <w:rPr>
                <w:rFonts w:hAnsi="宋体"/>
                <w:b/>
                <w:sz w:val="24"/>
              </w:rPr>
            </w:pPr>
            <w:r>
              <w:rPr>
                <w:rFonts w:hint="eastAsia" w:hAnsi="宋体"/>
                <w:b/>
                <w:sz w:val="24"/>
              </w:rPr>
              <w:t>八、环境风险</w:t>
            </w:r>
          </w:p>
          <w:p>
            <w:pPr>
              <w:pStyle w:val="9"/>
              <w:spacing w:line="360" w:lineRule="auto"/>
              <w:ind w:firstLine="480" w:firstLineChars="200"/>
              <w:rPr>
                <w:rFonts w:hAnsi="宋体"/>
                <w:bCs/>
              </w:rPr>
            </w:pPr>
            <w:r>
              <w:rPr>
                <w:rFonts w:hint="eastAsia"/>
                <w:szCs w:val="24"/>
              </w:rPr>
              <w:t>根据《建设项目环境风险评价技术导则》（HJ169-2018）要求，风险源调查主要内容为建设项目危险物质数量和分布情况、生产工艺特点，收集危险物质安全技术说明书（MSDS）等基础资料。根据导则中的附录B，全厂不涉及风险物质。</w:t>
            </w:r>
            <w:r>
              <w:rPr>
                <w:snapToGrid w:val="0"/>
                <w:szCs w:val="24"/>
              </w:rPr>
              <w:t>风险潜势为Ⅰ</w:t>
            </w:r>
            <w:r>
              <w:rPr>
                <w:rFonts w:hint="eastAsia"/>
                <w:snapToGrid w:val="0"/>
                <w:szCs w:val="24"/>
                <w:lang w:eastAsia="zh-CN"/>
              </w:rPr>
              <w:t>，为简单分析，详见下表</w:t>
            </w:r>
            <w:r>
              <w:rPr>
                <w:snapToGrid w:val="0"/>
                <w:szCs w:val="24"/>
              </w:rPr>
              <w:t>。</w:t>
            </w:r>
          </w:p>
          <w:p>
            <w:pPr>
              <w:autoSpaceDE w:val="0"/>
              <w:autoSpaceDN w:val="0"/>
              <w:adjustRightInd w:val="0"/>
              <w:spacing w:line="360" w:lineRule="auto"/>
              <w:jc w:val="center"/>
              <w:rPr>
                <w:rFonts w:ascii="Times New Roman" w:hAnsi="Times New Roman" w:eastAsia="宋体"/>
                <w:kern w:val="0"/>
                <w:sz w:val="24"/>
                <w:lang w:val="zh-CN"/>
              </w:rPr>
            </w:pPr>
            <w:r>
              <w:rPr>
                <w:rFonts w:ascii="Times New Roman" w:hAnsi="Times New Roman" w:eastAsia="宋体"/>
                <w:b/>
                <w:sz w:val="24"/>
              </w:rPr>
              <w:t>表</w:t>
            </w:r>
            <w:r>
              <w:rPr>
                <w:rFonts w:hint="eastAsia" w:ascii="Times New Roman" w:hAnsi="Times New Roman" w:eastAsia="宋体"/>
                <w:b/>
                <w:sz w:val="24"/>
                <w:lang w:val="en-US" w:eastAsia="zh-CN"/>
              </w:rPr>
              <w:t>4-</w:t>
            </w:r>
            <w:r>
              <w:rPr>
                <w:rFonts w:hint="eastAsia" w:ascii="Times New Roman" w:hAnsi="Times New Roman"/>
                <w:b/>
                <w:sz w:val="24"/>
                <w:lang w:val="en-US" w:eastAsia="zh-CN"/>
              </w:rPr>
              <w:t>17</w:t>
            </w:r>
            <w:r>
              <w:rPr>
                <w:rFonts w:hint="eastAsia" w:ascii="Times New Roman" w:hAnsi="Times New Roman" w:eastAsia="宋体"/>
                <w:b/>
                <w:sz w:val="24"/>
                <w:lang w:val="en-US" w:eastAsia="zh-CN"/>
              </w:rPr>
              <w:t xml:space="preserve">  </w:t>
            </w:r>
            <w:r>
              <w:rPr>
                <w:rFonts w:ascii="Times New Roman" w:hAnsi="Times New Roman" w:eastAsia="宋体"/>
                <w:b/>
                <w:sz w:val="24"/>
                <w:lang w:val="zh-CN"/>
              </w:rPr>
              <w:t>建设项目环境风险简单分析内容表</w:t>
            </w:r>
          </w:p>
          <w:tbl>
            <w:tblPr>
              <w:tblStyle w:val="22"/>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0"/>
              <w:gridCol w:w="1554"/>
              <w:gridCol w:w="1640"/>
              <w:gridCol w:w="1643"/>
              <w:gridCol w:w="1643"/>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1851" w:type="dxa"/>
                  <w:noWrap w:val="0"/>
                  <w:vAlign w:val="center"/>
                </w:tcPr>
                <w:p>
                  <w:pPr>
                    <w:autoSpaceDE w:val="0"/>
                    <w:autoSpaceDN w:val="0"/>
                    <w:adjustRightInd w:val="0"/>
                    <w:jc w:val="center"/>
                    <w:rPr>
                      <w:rFonts w:ascii="Times New Roman" w:hAnsi="Times New Roman" w:eastAsia="宋体"/>
                      <w:kern w:val="0"/>
                      <w:szCs w:val="21"/>
                      <w:lang w:val="zh-CN"/>
                    </w:rPr>
                  </w:pPr>
                  <w:r>
                    <w:rPr>
                      <w:rFonts w:ascii="Times New Roman" w:hAnsi="Times New Roman" w:eastAsia="宋体"/>
                      <w:kern w:val="0"/>
                      <w:szCs w:val="21"/>
                      <w:lang w:val="zh-CN"/>
                    </w:rPr>
                    <w:t>建设项目名称</w:t>
                  </w:r>
                </w:p>
              </w:tc>
              <w:tc>
                <w:tcPr>
                  <w:tcW w:w="6938" w:type="dxa"/>
                  <w:gridSpan w:val="5"/>
                  <w:tcBorders>
                    <w:right w:val="single" w:color="auto" w:sz="4" w:space="0"/>
                  </w:tcBorders>
                  <w:noWrap w:val="0"/>
                  <w:vAlign w:val="center"/>
                </w:tcPr>
                <w:p>
                  <w:pPr>
                    <w:autoSpaceDE w:val="0"/>
                    <w:autoSpaceDN w:val="0"/>
                    <w:adjustRightInd w:val="0"/>
                    <w:jc w:val="center"/>
                    <w:rPr>
                      <w:rFonts w:ascii="Times New Roman" w:hAnsi="Times New Roman" w:eastAsia="宋体"/>
                      <w:kern w:val="0"/>
                      <w:sz w:val="21"/>
                      <w:szCs w:val="21"/>
                      <w:lang w:val="zh-CN"/>
                    </w:rPr>
                  </w:pPr>
                  <w:r>
                    <w:rPr>
                      <w:rFonts w:hint="eastAsia"/>
                      <w:sz w:val="21"/>
                      <w:szCs w:val="21"/>
                    </w:rPr>
                    <w:t>水产加工品（干制水产品）生产、塑料制品生产加工项目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340" w:hRule="atLeast"/>
                <w:jc w:val="center"/>
              </w:trPr>
              <w:tc>
                <w:tcPr>
                  <w:tcW w:w="1851" w:type="dxa"/>
                  <w:noWrap w:val="0"/>
                  <w:vAlign w:val="center"/>
                </w:tcPr>
                <w:p>
                  <w:pPr>
                    <w:autoSpaceDE w:val="0"/>
                    <w:autoSpaceDN w:val="0"/>
                    <w:adjustRightInd w:val="0"/>
                    <w:jc w:val="center"/>
                    <w:rPr>
                      <w:rFonts w:ascii="Times New Roman" w:hAnsi="Times New Roman" w:eastAsia="宋体"/>
                      <w:kern w:val="0"/>
                      <w:szCs w:val="21"/>
                      <w:lang w:val="zh-CN"/>
                    </w:rPr>
                  </w:pPr>
                  <w:r>
                    <w:rPr>
                      <w:rFonts w:ascii="Times New Roman" w:hAnsi="Times New Roman" w:eastAsia="宋体"/>
                      <w:kern w:val="0"/>
                      <w:szCs w:val="21"/>
                      <w:lang w:val="zh-CN"/>
                    </w:rPr>
                    <w:t>建设地点</w:t>
                  </w:r>
                </w:p>
              </w:tc>
              <w:tc>
                <w:tcPr>
                  <w:tcW w:w="6928" w:type="dxa"/>
                  <w:gridSpan w:val="4"/>
                  <w:tcBorders>
                    <w:right w:val="single" w:color="auto" w:sz="4" w:space="0"/>
                  </w:tcBorders>
                  <w:noWrap w:val="0"/>
                  <w:vAlign w:val="center"/>
                </w:tcPr>
                <w:p>
                  <w:pPr>
                    <w:autoSpaceDE w:val="0"/>
                    <w:autoSpaceDN w:val="0"/>
                    <w:adjustRightInd w:val="0"/>
                    <w:jc w:val="center"/>
                    <w:rPr>
                      <w:rFonts w:ascii="Times New Roman" w:hAnsi="Times New Roman" w:eastAsia="宋体"/>
                      <w:kern w:val="0"/>
                      <w:sz w:val="21"/>
                      <w:szCs w:val="21"/>
                    </w:rPr>
                  </w:pPr>
                  <w:r>
                    <w:rPr>
                      <w:rFonts w:hint="eastAsia" w:hAnsi="宋体"/>
                      <w:sz w:val="21"/>
                      <w:szCs w:val="21"/>
                    </w:rPr>
                    <w:t>滁州市苏滁产业园常州南路611号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340" w:hRule="atLeast"/>
                <w:jc w:val="center"/>
              </w:trPr>
              <w:tc>
                <w:tcPr>
                  <w:tcW w:w="1851" w:type="dxa"/>
                  <w:noWrap w:val="0"/>
                  <w:vAlign w:val="center"/>
                </w:tcPr>
                <w:p>
                  <w:pPr>
                    <w:autoSpaceDE w:val="0"/>
                    <w:autoSpaceDN w:val="0"/>
                    <w:adjustRightInd w:val="0"/>
                    <w:jc w:val="center"/>
                    <w:rPr>
                      <w:rFonts w:ascii="Times New Roman" w:hAnsi="Times New Roman" w:eastAsia="宋体"/>
                      <w:kern w:val="0"/>
                      <w:szCs w:val="21"/>
                      <w:lang w:val="zh-CN"/>
                    </w:rPr>
                  </w:pPr>
                  <w:r>
                    <w:rPr>
                      <w:rFonts w:ascii="Times New Roman" w:hAnsi="Times New Roman" w:eastAsia="宋体"/>
                      <w:kern w:val="0"/>
                      <w:szCs w:val="21"/>
                      <w:lang w:val="zh-CN"/>
                    </w:rPr>
                    <w:t>地理坐标</w:t>
                  </w:r>
                </w:p>
              </w:tc>
              <w:tc>
                <w:tcPr>
                  <w:tcW w:w="1661" w:type="dxa"/>
                  <w:noWrap w:val="0"/>
                  <w:vAlign w:val="center"/>
                </w:tcPr>
                <w:p>
                  <w:pPr>
                    <w:autoSpaceDE w:val="0"/>
                    <w:autoSpaceDN w:val="0"/>
                    <w:adjustRightInd w:val="0"/>
                    <w:jc w:val="center"/>
                    <w:rPr>
                      <w:rFonts w:ascii="Times New Roman" w:hAnsi="Times New Roman" w:eastAsia="宋体"/>
                      <w:kern w:val="0"/>
                      <w:sz w:val="21"/>
                      <w:szCs w:val="21"/>
                      <w:lang w:val="zh-CN"/>
                    </w:rPr>
                  </w:pPr>
                  <w:r>
                    <w:rPr>
                      <w:rFonts w:ascii="Times New Roman" w:hAnsi="Times New Roman" w:eastAsia="宋体"/>
                      <w:kern w:val="0"/>
                      <w:sz w:val="21"/>
                      <w:szCs w:val="21"/>
                      <w:lang w:val="zh-CN"/>
                    </w:rPr>
                    <w:t>经度</w:t>
                  </w:r>
                </w:p>
              </w:tc>
              <w:tc>
                <w:tcPr>
                  <w:tcW w:w="1754" w:type="dxa"/>
                  <w:noWrap w:val="0"/>
                  <w:vAlign w:val="center"/>
                </w:tcPr>
                <w:p>
                  <w:pPr>
                    <w:autoSpaceDE w:val="0"/>
                    <w:autoSpaceDN w:val="0"/>
                    <w:adjustRightInd w:val="0"/>
                    <w:jc w:val="center"/>
                    <w:rPr>
                      <w:rFonts w:ascii="Times New Roman" w:hAnsi="Times New Roman" w:eastAsia="宋体"/>
                      <w:kern w:val="0"/>
                      <w:sz w:val="21"/>
                      <w:szCs w:val="21"/>
                    </w:rPr>
                  </w:pPr>
                  <w:r>
                    <w:rPr>
                      <w:rFonts w:hint="eastAsia"/>
                      <w:sz w:val="21"/>
                      <w:szCs w:val="21"/>
                    </w:rPr>
                    <w:t>118.391595</w:t>
                  </w:r>
                </w:p>
              </w:tc>
              <w:tc>
                <w:tcPr>
                  <w:tcW w:w="1757" w:type="dxa"/>
                  <w:noWrap w:val="0"/>
                  <w:vAlign w:val="center"/>
                </w:tcPr>
                <w:p>
                  <w:pPr>
                    <w:autoSpaceDE w:val="0"/>
                    <w:autoSpaceDN w:val="0"/>
                    <w:adjustRightInd w:val="0"/>
                    <w:jc w:val="center"/>
                    <w:rPr>
                      <w:rFonts w:ascii="Times New Roman" w:hAnsi="Times New Roman" w:eastAsia="宋体"/>
                      <w:kern w:val="0"/>
                      <w:sz w:val="21"/>
                      <w:szCs w:val="21"/>
                      <w:lang w:val="zh-CN"/>
                    </w:rPr>
                  </w:pPr>
                  <w:r>
                    <w:rPr>
                      <w:rFonts w:ascii="Times New Roman" w:hAnsi="Times New Roman" w:eastAsia="宋体"/>
                      <w:kern w:val="0"/>
                      <w:sz w:val="21"/>
                      <w:szCs w:val="21"/>
                      <w:lang w:val="zh-CN"/>
                    </w:rPr>
                    <w:t>纬度</w:t>
                  </w:r>
                </w:p>
              </w:tc>
              <w:tc>
                <w:tcPr>
                  <w:tcW w:w="1756" w:type="dxa"/>
                  <w:tcBorders>
                    <w:right w:val="single" w:color="auto" w:sz="4" w:space="0"/>
                  </w:tcBorders>
                  <w:noWrap w:val="0"/>
                  <w:vAlign w:val="center"/>
                </w:tcPr>
                <w:p>
                  <w:pPr>
                    <w:autoSpaceDE w:val="0"/>
                    <w:autoSpaceDN w:val="0"/>
                    <w:adjustRightInd w:val="0"/>
                    <w:jc w:val="center"/>
                    <w:rPr>
                      <w:rFonts w:ascii="Times New Roman" w:hAnsi="Times New Roman" w:eastAsia="宋体"/>
                      <w:kern w:val="0"/>
                      <w:sz w:val="21"/>
                      <w:szCs w:val="21"/>
                    </w:rPr>
                  </w:pPr>
                  <w:r>
                    <w:rPr>
                      <w:rFonts w:hint="eastAsia"/>
                      <w:sz w:val="21"/>
                      <w:szCs w:val="21"/>
                    </w:rPr>
                    <w:t>32.296929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340" w:hRule="atLeast"/>
                <w:jc w:val="center"/>
              </w:trPr>
              <w:tc>
                <w:tcPr>
                  <w:tcW w:w="1851" w:type="dxa"/>
                  <w:tcBorders>
                    <w:right w:val="single" w:color="auto" w:sz="4" w:space="0"/>
                  </w:tcBorders>
                  <w:noWrap w:val="0"/>
                  <w:vAlign w:val="center"/>
                </w:tcPr>
                <w:p>
                  <w:pPr>
                    <w:autoSpaceDE w:val="0"/>
                    <w:autoSpaceDN w:val="0"/>
                    <w:adjustRightInd w:val="0"/>
                    <w:jc w:val="center"/>
                    <w:rPr>
                      <w:rFonts w:ascii="Times New Roman" w:hAnsi="Times New Roman" w:eastAsia="宋体"/>
                      <w:kern w:val="0"/>
                      <w:szCs w:val="21"/>
                      <w:lang w:val="zh-CN"/>
                    </w:rPr>
                  </w:pPr>
                  <w:r>
                    <w:rPr>
                      <w:rFonts w:ascii="Times New Roman" w:hAnsi="Times New Roman" w:eastAsia="宋体"/>
                      <w:kern w:val="0"/>
                      <w:szCs w:val="21"/>
                      <w:lang w:val="zh-CN"/>
                    </w:rPr>
                    <w:t>主要危险物质及分布</w:t>
                  </w:r>
                </w:p>
              </w:tc>
              <w:tc>
                <w:tcPr>
                  <w:tcW w:w="6928" w:type="dxa"/>
                  <w:gridSpan w:val="4"/>
                  <w:tcBorders>
                    <w:right w:val="single" w:color="auto" w:sz="4" w:space="0"/>
                  </w:tcBorders>
                  <w:noWrap w:val="0"/>
                  <w:vAlign w:val="center"/>
                </w:tcPr>
                <w:p>
                  <w:pPr>
                    <w:autoSpaceDE w:val="0"/>
                    <w:autoSpaceDN w:val="0"/>
                    <w:adjustRightInd w:val="0"/>
                    <w:jc w:val="center"/>
                    <w:rPr>
                      <w:rFonts w:hint="eastAsia" w:ascii="Times New Roman" w:hAnsi="Times New Roman" w:eastAsia="宋体"/>
                      <w:kern w:val="0"/>
                      <w:szCs w:val="21"/>
                      <w:lang w:val="zh-CN" w:eastAsia="zh-CN"/>
                    </w:rPr>
                  </w:pPr>
                  <w:r>
                    <w:rPr>
                      <w:rFonts w:hint="eastAsia" w:ascii="Times New Roman" w:hAnsi="Times New Roman"/>
                      <w:kern w:val="0"/>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0" w:type="dxa"/>
                <w:trHeight w:val="340" w:hRule="atLeast"/>
                <w:jc w:val="center"/>
              </w:trPr>
              <w:tc>
                <w:tcPr>
                  <w:tcW w:w="1851" w:type="dxa"/>
                  <w:tcBorders>
                    <w:right w:val="single" w:color="auto" w:sz="4" w:space="0"/>
                  </w:tcBorders>
                  <w:noWrap w:val="0"/>
                  <w:vAlign w:val="center"/>
                </w:tcPr>
                <w:p>
                  <w:pPr>
                    <w:autoSpaceDE w:val="0"/>
                    <w:autoSpaceDN w:val="0"/>
                    <w:adjustRightInd w:val="0"/>
                    <w:jc w:val="center"/>
                    <w:rPr>
                      <w:rFonts w:ascii="Times New Roman" w:hAnsi="Times New Roman" w:eastAsia="宋体"/>
                      <w:kern w:val="0"/>
                      <w:szCs w:val="21"/>
                      <w:lang w:val="zh-CN"/>
                    </w:rPr>
                  </w:pPr>
                  <w:r>
                    <w:rPr>
                      <w:rFonts w:ascii="Times New Roman" w:hAnsi="Times New Roman" w:eastAsia="宋体"/>
                      <w:kern w:val="0"/>
                      <w:szCs w:val="21"/>
                      <w:lang w:val="zh-CN"/>
                    </w:rPr>
                    <w:t>环境影响途径及危害后果</w:t>
                  </w:r>
                </w:p>
              </w:tc>
              <w:tc>
                <w:tcPr>
                  <w:tcW w:w="6928" w:type="dxa"/>
                  <w:gridSpan w:val="4"/>
                  <w:tcBorders>
                    <w:right w:val="single" w:color="auto" w:sz="4" w:space="0"/>
                  </w:tcBorders>
                  <w:noWrap w:val="0"/>
                  <w:vAlign w:val="center"/>
                </w:tcPr>
                <w:p>
                  <w:pPr>
                    <w:autoSpaceDE w:val="0"/>
                    <w:autoSpaceDN w:val="0"/>
                    <w:adjustRightInd w:val="0"/>
                    <w:jc w:val="center"/>
                    <w:rPr>
                      <w:rFonts w:ascii="Times New Roman" w:hAnsi="Times New Roman" w:eastAsia="宋体"/>
                      <w:kern w:val="0"/>
                      <w:szCs w:val="21"/>
                      <w:lang w:val="zh-CN"/>
                    </w:rPr>
                  </w:pPr>
                  <w:r>
                    <w:rPr>
                      <w:rFonts w:hint="eastAsia" w:eastAsia="宋体"/>
                      <w:kern w:val="0"/>
                      <w:szCs w:val="21"/>
                      <w:lang w:val="zh-CN"/>
                    </w:rPr>
                    <w:t>本</w:t>
                  </w:r>
                  <w:r>
                    <w:rPr>
                      <w:rFonts w:eastAsia="宋体"/>
                      <w:kern w:val="0"/>
                      <w:szCs w:val="21"/>
                      <w:lang w:val="zh-CN"/>
                    </w:rPr>
                    <w:t>项目环境风险主要为</w:t>
                  </w:r>
                  <w:r>
                    <w:rPr>
                      <w:rFonts w:eastAsia="宋体"/>
                      <w:kern w:val="0"/>
                      <w:szCs w:val="21"/>
                    </w:rPr>
                    <w:t>有机废气</w:t>
                  </w:r>
                  <w:r>
                    <w:rPr>
                      <w:rFonts w:eastAsia="宋体"/>
                      <w:kern w:val="0"/>
                      <w:szCs w:val="21"/>
                      <w:lang w:val="zh-CN"/>
                    </w:rPr>
                    <w:t>挥发对周围环境空气造成影响以及</w:t>
                  </w:r>
                  <w:r>
                    <w:rPr>
                      <w:rFonts w:hint="eastAsia" w:eastAsia="宋体"/>
                      <w:kern w:val="0"/>
                      <w:szCs w:val="21"/>
                      <w:lang w:val="zh-CN"/>
                    </w:rPr>
                    <w:t>原料产品发生</w:t>
                  </w:r>
                  <w:r>
                    <w:rPr>
                      <w:rFonts w:eastAsia="宋体"/>
                      <w:kern w:val="0"/>
                      <w:szCs w:val="21"/>
                      <w:lang w:val="zh-CN"/>
                    </w:rPr>
                    <w:t>火灾次生伴生影响。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0" w:type="dxa"/>
                <w:trHeight w:val="340" w:hRule="atLeast"/>
                <w:jc w:val="center"/>
              </w:trPr>
              <w:tc>
                <w:tcPr>
                  <w:tcW w:w="1851" w:type="dxa"/>
                  <w:tcBorders>
                    <w:right w:val="single" w:color="auto" w:sz="4" w:space="0"/>
                  </w:tcBorders>
                  <w:noWrap w:val="0"/>
                  <w:vAlign w:val="center"/>
                </w:tcPr>
                <w:p>
                  <w:pPr>
                    <w:autoSpaceDE w:val="0"/>
                    <w:autoSpaceDN w:val="0"/>
                    <w:adjustRightInd w:val="0"/>
                    <w:jc w:val="center"/>
                    <w:rPr>
                      <w:rFonts w:ascii="Times New Roman" w:hAnsi="Times New Roman" w:eastAsia="宋体"/>
                      <w:kern w:val="0"/>
                      <w:szCs w:val="21"/>
                      <w:lang w:val="zh-CN"/>
                    </w:rPr>
                  </w:pPr>
                  <w:r>
                    <w:rPr>
                      <w:rFonts w:ascii="Times New Roman" w:hAnsi="Times New Roman" w:eastAsia="宋体"/>
                      <w:kern w:val="0"/>
                      <w:szCs w:val="21"/>
                      <w:lang w:val="zh-CN"/>
                    </w:rPr>
                    <w:t>风险防范措施</w:t>
                  </w:r>
                </w:p>
              </w:tc>
              <w:tc>
                <w:tcPr>
                  <w:tcW w:w="6928" w:type="dxa"/>
                  <w:gridSpan w:val="4"/>
                  <w:tcBorders>
                    <w:right w:val="single" w:color="auto" w:sz="4" w:space="0"/>
                  </w:tcBorders>
                  <w:noWrap w:val="0"/>
                  <w:vAlign w:val="center"/>
                </w:tcPr>
                <w:p>
                  <w:pPr>
                    <w:pStyle w:val="11"/>
                    <w:tabs>
                      <w:tab w:val="left" w:pos="1200"/>
                    </w:tabs>
                    <w:spacing w:line="240" w:lineRule="auto"/>
                    <w:ind w:firstLine="0"/>
                    <w:rPr>
                      <w:rFonts w:ascii="Times New Roman" w:hAnsi="Times New Roman" w:eastAsia="宋体"/>
                      <w:snapToGrid w:val="0"/>
                      <w:kern w:val="0"/>
                      <w:sz w:val="21"/>
                      <w:szCs w:val="21"/>
                    </w:rPr>
                  </w:pPr>
                  <w:r>
                    <w:rPr>
                      <w:rFonts w:ascii="Times New Roman" w:hAnsi="Times New Roman" w:eastAsia="宋体"/>
                      <w:snapToGrid w:val="0"/>
                      <w:kern w:val="0"/>
                      <w:sz w:val="21"/>
                      <w:szCs w:val="21"/>
                    </w:rPr>
                    <w:t>1）车间设置隔离，必须安装消防措施，加强通风，同时仓储驻地严禁烟火。</w:t>
                  </w:r>
                </w:p>
                <w:p>
                  <w:pPr>
                    <w:pStyle w:val="11"/>
                    <w:tabs>
                      <w:tab w:val="left" w:pos="1200"/>
                    </w:tabs>
                    <w:spacing w:line="240" w:lineRule="auto"/>
                    <w:ind w:firstLine="0"/>
                    <w:rPr>
                      <w:rFonts w:ascii="Times New Roman" w:hAnsi="Times New Roman" w:eastAsia="宋体"/>
                      <w:snapToGrid w:val="0"/>
                      <w:kern w:val="0"/>
                      <w:sz w:val="21"/>
                      <w:szCs w:val="21"/>
                    </w:rPr>
                  </w:pPr>
                  <w:r>
                    <w:rPr>
                      <w:rFonts w:ascii="Times New Roman" w:hAnsi="Times New Roman" w:eastAsia="宋体"/>
                      <w:snapToGrid w:val="0"/>
                      <w:kern w:val="0"/>
                      <w:sz w:val="21"/>
                      <w:szCs w:val="21"/>
                    </w:rPr>
                    <w:t>2）废料等贮存地点存放位置妥善保存。</w:t>
                  </w:r>
                </w:p>
                <w:p>
                  <w:pPr>
                    <w:pStyle w:val="11"/>
                    <w:tabs>
                      <w:tab w:val="left" w:pos="1200"/>
                    </w:tabs>
                    <w:spacing w:line="240" w:lineRule="auto"/>
                    <w:ind w:firstLine="0"/>
                    <w:rPr>
                      <w:rFonts w:ascii="Times New Roman" w:hAnsi="Times New Roman" w:eastAsia="宋体"/>
                      <w:snapToGrid w:val="0"/>
                      <w:kern w:val="0"/>
                      <w:sz w:val="21"/>
                      <w:szCs w:val="21"/>
                    </w:rPr>
                  </w:pPr>
                  <w:r>
                    <w:rPr>
                      <w:rFonts w:ascii="Times New Roman" w:hAnsi="Times New Roman" w:eastAsia="宋体"/>
                      <w:snapToGrid w:val="0"/>
                      <w:kern w:val="0"/>
                      <w:sz w:val="21"/>
                      <w:szCs w:val="21"/>
                    </w:rPr>
                    <w:t>3）加强原料管理，检查包装桶质量，预防包装桶破碎。</w:t>
                  </w:r>
                </w:p>
                <w:p>
                  <w:pPr>
                    <w:pStyle w:val="11"/>
                    <w:tabs>
                      <w:tab w:val="left" w:pos="1200"/>
                    </w:tabs>
                    <w:spacing w:line="240" w:lineRule="auto"/>
                    <w:ind w:firstLine="0"/>
                    <w:rPr>
                      <w:rFonts w:ascii="Times New Roman" w:hAnsi="Times New Roman" w:eastAsia="宋体"/>
                      <w:snapToGrid w:val="0"/>
                      <w:kern w:val="0"/>
                      <w:sz w:val="21"/>
                      <w:szCs w:val="21"/>
                    </w:rPr>
                  </w:pPr>
                  <w:r>
                    <w:rPr>
                      <w:rFonts w:ascii="Times New Roman" w:hAnsi="Times New Roman" w:eastAsia="宋体"/>
                      <w:snapToGrid w:val="0"/>
                      <w:kern w:val="0"/>
                      <w:sz w:val="21"/>
                      <w:szCs w:val="21"/>
                    </w:rPr>
                    <w:t>4）为预防事故的发生，成立应急事故领导小组。</w:t>
                  </w:r>
                </w:p>
                <w:p>
                  <w:pPr>
                    <w:ind w:firstLine="420" w:firstLineChars="200"/>
                    <w:rPr>
                      <w:rFonts w:ascii="Times New Roman" w:hAnsi="Times New Roman" w:eastAsia="宋体"/>
                      <w:snapToGrid w:val="0"/>
                      <w:kern w:val="0"/>
                      <w:szCs w:val="21"/>
                    </w:rPr>
                  </w:pPr>
                  <w:r>
                    <w:rPr>
                      <w:rFonts w:ascii="Times New Roman" w:hAnsi="Times New Roman" w:eastAsia="宋体"/>
                      <w:snapToGrid w:val="0"/>
                      <w:kern w:val="0"/>
                      <w:szCs w:val="21"/>
                    </w:rPr>
                    <w:t>5）每个生产岗位必须要有一个明确而又能为所有在岗人员熟悉的安全方针；并定期组织员工培训，熟练掌握应急事故处理措施。</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firstLineChars="200"/>
              <w:textAlignment w:val="auto"/>
              <w:rPr>
                <w:b/>
                <w:sz w:val="24"/>
              </w:rPr>
            </w:pPr>
            <w:r>
              <w:rPr>
                <w:rFonts w:hint="eastAsia" w:hAnsi="宋体"/>
                <w:b/>
                <w:sz w:val="24"/>
              </w:rPr>
              <w:t>九、</w:t>
            </w:r>
            <w:r>
              <w:rPr>
                <w:b/>
                <w:sz w:val="24"/>
              </w:rPr>
              <w:t>环境管理</w:t>
            </w:r>
          </w:p>
          <w:p>
            <w:pPr>
              <w:spacing w:line="360" w:lineRule="auto"/>
              <w:ind w:firstLine="480" w:firstLineChars="200"/>
              <w:rPr>
                <w:sz w:val="24"/>
              </w:rPr>
            </w:pPr>
            <w:r>
              <w:rPr>
                <w:sz w:val="24"/>
              </w:rPr>
              <w:t>项目营运期间，建设单位应提高对环境保护工作的认识和态度，加强环境保护意识教育，建立健全的环境保护管理制度体系，并配备兼职环境保护管理工作人员，主管日常的环境管理工作。环境管理工作具体内容如下：</w:t>
            </w:r>
          </w:p>
          <w:p>
            <w:pPr>
              <w:spacing w:line="360" w:lineRule="auto"/>
              <w:ind w:firstLine="480" w:firstLineChars="200"/>
              <w:rPr>
                <w:sz w:val="24"/>
              </w:rPr>
            </w:pPr>
            <w:r>
              <w:rPr>
                <w:sz w:val="24"/>
              </w:rPr>
              <w:t>①建设单位应加强对垃圾暂存点的管理，与环卫部门订立合同，及时清运；</w:t>
            </w:r>
          </w:p>
          <w:p>
            <w:pPr>
              <w:pStyle w:val="58"/>
              <w:ind w:firstLine="480"/>
              <w:rPr>
                <w:kern w:val="2"/>
              </w:rPr>
            </w:pPr>
            <w:r>
              <w:t>②处理各种涉及环境保护的有关事项，记录并保存有关环境保护的原始资料。</w:t>
            </w:r>
          </w:p>
          <w:p>
            <w:pPr>
              <w:adjustRightInd w:val="0"/>
              <w:snapToGrid w:val="0"/>
              <w:spacing w:line="360" w:lineRule="auto"/>
              <w:ind w:firstLine="482" w:firstLineChars="200"/>
              <w:jc w:val="left"/>
              <w:rPr>
                <w:b/>
                <w:sz w:val="24"/>
              </w:rPr>
            </w:pPr>
            <w:r>
              <w:rPr>
                <w:rFonts w:hint="eastAsia"/>
                <w:b/>
                <w:sz w:val="24"/>
              </w:rPr>
              <w:t>十、排污许可</w:t>
            </w:r>
          </w:p>
          <w:p>
            <w:pPr>
              <w:spacing w:line="360" w:lineRule="auto"/>
              <w:ind w:firstLine="480" w:firstLineChars="200"/>
              <w:jc w:val="left"/>
              <w:rPr>
                <w:sz w:val="24"/>
              </w:rPr>
            </w:pPr>
            <w:r>
              <w:rPr>
                <w:sz w:val="24"/>
              </w:rPr>
              <w:t>根据《国务院办公厅关于印发控制污染物排放许可制实施方案的通知》（国办发〔2016〕81号）和《环境保护部关于印发〈“十三五”环境影响评价改革实施方案〉的通知》（环环评〔2016〕95号），环境影响评价制度是建设项目的环境准入门槛，是申请排污许可证的前提和重要依据。排污许可制是企事业单位生产运营期排污的法律依据，必须做好充分衔接工作，实现从污染预防到污染治理和排放控制的全程监管。</w:t>
            </w:r>
          </w:p>
          <w:p>
            <w:pPr>
              <w:pStyle w:val="58"/>
              <w:ind w:firstLine="480"/>
              <w:jc w:val="left"/>
              <w:rPr>
                <w:rFonts w:hAnsi="Calibri"/>
                <w:kern w:val="2"/>
              </w:rPr>
            </w:pPr>
            <w:r>
              <w:rPr>
                <w:rFonts w:hAnsi="Calibri"/>
                <w:kern w:val="2"/>
              </w:rPr>
              <w:t>根据《固定污染源排污许可分类管理名录》（</w:t>
            </w:r>
            <w:r>
              <w:rPr>
                <w:kern w:val="2"/>
              </w:rPr>
              <w:t>2019</w:t>
            </w:r>
            <w:r>
              <w:rPr>
                <w:rFonts w:hAnsi="Calibri"/>
                <w:kern w:val="2"/>
              </w:rPr>
              <w:t>年版）（环境保护部令第</w:t>
            </w:r>
            <w:r>
              <w:rPr>
                <w:kern w:val="2"/>
              </w:rPr>
              <w:t>45</w:t>
            </w:r>
            <w:r>
              <w:rPr>
                <w:rFonts w:hAnsi="Calibri"/>
                <w:kern w:val="2"/>
              </w:rPr>
              <w:t>号，</w:t>
            </w:r>
            <w:r>
              <w:rPr>
                <w:kern w:val="2"/>
              </w:rPr>
              <w:t>2019</w:t>
            </w:r>
            <w:r>
              <w:rPr>
                <w:rFonts w:hAnsi="Calibri"/>
                <w:kern w:val="2"/>
              </w:rPr>
              <w:t>年</w:t>
            </w:r>
            <w:r>
              <w:rPr>
                <w:kern w:val="2"/>
              </w:rPr>
              <w:t>7</w:t>
            </w:r>
            <w:r>
              <w:rPr>
                <w:rFonts w:hAnsi="Calibri"/>
                <w:kern w:val="2"/>
              </w:rPr>
              <w:t>月</w:t>
            </w:r>
            <w:r>
              <w:rPr>
                <w:kern w:val="2"/>
              </w:rPr>
              <w:t>11</w:t>
            </w:r>
            <w:r>
              <w:rPr>
                <w:rFonts w:hAnsi="Calibri"/>
                <w:kern w:val="2"/>
              </w:rPr>
              <w:t>日），</w:t>
            </w:r>
            <w:r>
              <w:rPr>
                <w:rFonts w:hint="eastAsia" w:hAnsi="Calibri"/>
                <w:kern w:val="2"/>
              </w:rPr>
              <w:t>见下表，</w:t>
            </w:r>
            <w:r>
              <w:rPr>
                <w:rFonts w:hint="eastAsia" w:hAnsi="Calibri"/>
                <w:b/>
                <w:kern w:val="2"/>
              </w:rPr>
              <w:t>本项目属于简化管理行业</w:t>
            </w:r>
            <w:r>
              <w:rPr>
                <w:rFonts w:hAnsi="Calibri"/>
                <w:kern w:val="2"/>
              </w:rPr>
              <w:t>。</w:t>
            </w:r>
            <w:r>
              <w:rPr>
                <w:rFonts w:hint="eastAsia" w:hAnsi="Calibri"/>
                <w:kern w:val="2"/>
              </w:rPr>
              <w:t>根据《安徽省生态环境厅关于统筹做好固定污染源排污许可日常监管工作的通知》（皖环发【2021】7号）中要求“（七）属于现行《固定污染源排污许可分类管理名录》内重点管理和简化管理的行业，建设单位在组织编制建设项目环境影响报告书（表）时，可结合相应行业排污许可证申请与核发技术规范，在环评文件中一并明确“建设项目环境影响评价与排污许可联动内容”和“建设项目排污许可申请与填报信息表” 。建设单位在实际排污行为发生前申领排污许可证时，应按照项目实际建设情况，填报排污许可申请材料，在编制自主验收报告时，应专章分析排污许可管理要求的落实情况”，详见附件。</w:t>
            </w:r>
          </w:p>
          <w:p>
            <w:pPr>
              <w:pStyle w:val="58"/>
              <w:ind w:firstLine="0" w:firstLineChars="0"/>
              <w:jc w:val="center"/>
              <w:rPr>
                <w:b/>
                <w:bCs/>
              </w:rPr>
            </w:pPr>
            <w:r>
              <w:rPr>
                <w:b/>
              </w:rPr>
              <w:t>表</w:t>
            </w:r>
            <w:r>
              <w:rPr>
                <w:rFonts w:hint="eastAsia"/>
                <w:b/>
              </w:rPr>
              <w:t>4</w:t>
            </w:r>
            <w:r>
              <w:rPr>
                <w:b/>
              </w:rPr>
              <w:t>-</w:t>
            </w:r>
            <w:r>
              <w:rPr>
                <w:rFonts w:hint="eastAsia"/>
                <w:b/>
              </w:rPr>
              <w:t>1</w:t>
            </w:r>
            <w:r>
              <w:rPr>
                <w:rFonts w:hint="eastAsia"/>
                <w:b/>
                <w:lang w:val="en-US" w:eastAsia="zh-CN"/>
              </w:rPr>
              <w:t>8</w:t>
            </w:r>
            <w:r>
              <w:rPr>
                <w:b/>
                <w:spacing w:val="-2"/>
              </w:rPr>
              <w:t xml:space="preserve"> </w:t>
            </w:r>
            <w:r>
              <w:rPr>
                <w:rFonts w:hint="eastAsia"/>
                <w:b/>
              </w:rPr>
              <w:t>排污许可分类管理</w:t>
            </w:r>
            <w:r>
              <w:rPr>
                <w:b/>
              </w:rPr>
              <w:t>一览表</w:t>
            </w:r>
          </w:p>
          <w:tbl>
            <w:tblPr>
              <w:tblStyle w:val="2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100"/>
              <w:gridCol w:w="1438"/>
              <w:gridCol w:w="3644"/>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jc w:val="center"/>
              </w:trPr>
              <w:tc>
                <w:tcPr>
                  <w:tcW w:w="646" w:type="dxa"/>
                  <w:vAlign w:val="center"/>
                </w:tcPr>
                <w:p>
                  <w:pPr>
                    <w:pStyle w:val="61"/>
                    <w:rPr>
                      <w:b/>
                      <w:szCs w:val="21"/>
                    </w:rPr>
                  </w:pPr>
                  <w:r>
                    <w:rPr>
                      <w:b/>
                      <w:szCs w:val="21"/>
                    </w:rPr>
                    <w:t>序号</w:t>
                  </w:r>
                </w:p>
              </w:tc>
              <w:tc>
                <w:tcPr>
                  <w:tcW w:w="1100" w:type="dxa"/>
                  <w:vAlign w:val="center"/>
                </w:tcPr>
                <w:p>
                  <w:pPr>
                    <w:pStyle w:val="61"/>
                    <w:rPr>
                      <w:b/>
                      <w:szCs w:val="21"/>
                    </w:rPr>
                  </w:pPr>
                  <w:r>
                    <w:rPr>
                      <w:b/>
                      <w:szCs w:val="21"/>
                    </w:rPr>
                    <w:t>行业类别</w:t>
                  </w:r>
                </w:p>
              </w:tc>
              <w:tc>
                <w:tcPr>
                  <w:tcW w:w="1438" w:type="dxa"/>
                  <w:vAlign w:val="center"/>
                </w:tcPr>
                <w:p>
                  <w:pPr>
                    <w:pStyle w:val="61"/>
                    <w:rPr>
                      <w:b/>
                      <w:szCs w:val="21"/>
                    </w:rPr>
                  </w:pPr>
                  <w:r>
                    <w:rPr>
                      <w:b/>
                      <w:szCs w:val="21"/>
                    </w:rPr>
                    <w:t>重点管理</w:t>
                  </w:r>
                </w:p>
              </w:tc>
              <w:tc>
                <w:tcPr>
                  <w:tcW w:w="3644" w:type="dxa"/>
                  <w:vAlign w:val="center"/>
                </w:tcPr>
                <w:p>
                  <w:pPr>
                    <w:pStyle w:val="61"/>
                    <w:rPr>
                      <w:b/>
                      <w:szCs w:val="21"/>
                    </w:rPr>
                  </w:pPr>
                  <w:r>
                    <w:rPr>
                      <w:b/>
                      <w:szCs w:val="21"/>
                    </w:rPr>
                    <w:t>简化管理</w:t>
                  </w:r>
                </w:p>
              </w:tc>
              <w:tc>
                <w:tcPr>
                  <w:tcW w:w="1110" w:type="dxa"/>
                  <w:vAlign w:val="center"/>
                </w:tcPr>
                <w:p>
                  <w:pPr>
                    <w:pStyle w:val="61"/>
                    <w:rPr>
                      <w:b/>
                      <w:szCs w:val="21"/>
                    </w:rPr>
                  </w:pPr>
                  <w:r>
                    <w:rPr>
                      <w:b/>
                      <w:szCs w:val="21"/>
                    </w:rPr>
                    <w:t>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exact"/>
                <w:jc w:val="center"/>
              </w:trPr>
              <w:tc>
                <w:tcPr>
                  <w:tcW w:w="7938" w:type="dxa"/>
                  <w:gridSpan w:val="5"/>
                  <w:vAlign w:val="center"/>
                </w:tcPr>
                <w:p>
                  <w:pPr>
                    <w:ind w:left="-16" w:hanging="112"/>
                    <w:jc w:val="center"/>
                    <w:rPr>
                      <w:b/>
                      <w:szCs w:val="21"/>
                    </w:rPr>
                  </w:pPr>
                  <w:r>
                    <w:rPr>
                      <w:rFonts w:hint="eastAsia"/>
                      <w:bCs/>
                      <w:szCs w:val="21"/>
                    </w:rPr>
                    <w:t>九、食品制造业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exact"/>
                <w:jc w:val="center"/>
              </w:trPr>
              <w:tc>
                <w:tcPr>
                  <w:tcW w:w="646" w:type="dxa"/>
                  <w:vAlign w:val="center"/>
                </w:tcPr>
                <w:p>
                  <w:pPr>
                    <w:pStyle w:val="61"/>
                    <w:rPr>
                      <w:b/>
                      <w:szCs w:val="21"/>
                    </w:rPr>
                  </w:pPr>
                  <w:r>
                    <w:rPr>
                      <w:rFonts w:hint="eastAsia"/>
                      <w:bCs/>
                      <w:szCs w:val="21"/>
                    </w:rPr>
                    <w:t>17</w:t>
                  </w:r>
                </w:p>
              </w:tc>
              <w:tc>
                <w:tcPr>
                  <w:tcW w:w="1100" w:type="dxa"/>
                  <w:vAlign w:val="center"/>
                </w:tcPr>
                <w:p>
                  <w:pPr>
                    <w:ind w:left="-16" w:hanging="112"/>
                    <w:jc w:val="center"/>
                    <w:rPr>
                      <w:bCs/>
                      <w:szCs w:val="21"/>
                    </w:rPr>
                  </w:pPr>
                  <w:r>
                    <w:rPr>
                      <w:rFonts w:hint="eastAsia"/>
                      <w:bCs/>
                      <w:szCs w:val="21"/>
                    </w:rPr>
                    <w:t>方便食品制造143，其他食品制造149</w:t>
                  </w:r>
                </w:p>
              </w:tc>
              <w:tc>
                <w:tcPr>
                  <w:tcW w:w="1438" w:type="dxa"/>
                  <w:vAlign w:val="center"/>
                </w:tcPr>
                <w:p>
                  <w:pPr>
                    <w:ind w:left="-16" w:hanging="112"/>
                    <w:jc w:val="center"/>
                    <w:rPr>
                      <w:bCs/>
                      <w:szCs w:val="21"/>
                    </w:rPr>
                  </w:pPr>
                  <w:r>
                    <w:rPr>
                      <w:rFonts w:hint="eastAsia"/>
                      <w:bCs/>
                      <w:szCs w:val="21"/>
                    </w:rPr>
                    <w:t>/</w:t>
                  </w:r>
                </w:p>
              </w:tc>
              <w:tc>
                <w:tcPr>
                  <w:tcW w:w="3644" w:type="dxa"/>
                  <w:vAlign w:val="center"/>
                </w:tcPr>
                <w:p>
                  <w:pPr>
                    <w:ind w:left="-16" w:hanging="112"/>
                    <w:jc w:val="center"/>
                    <w:rPr>
                      <w:bCs/>
                      <w:szCs w:val="21"/>
                    </w:rPr>
                  </w:pPr>
                  <w:r>
                    <w:rPr>
                      <w:rFonts w:hint="eastAsia"/>
                      <w:bCs/>
                      <w:szCs w:val="21"/>
                    </w:rPr>
                    <w:t>米、面制品制造 1431*，速冻食品制造 1432*，方便面制造 1433*，其他方便食品制造 1439*，食品及饲料添加剂制造 1495*，以上均不</w:t>
                  </w:r>
                </w:p>
                <w:p>
                  <w:pPr>
                    <w:ind w:left="-16" w:hanging="112"/>
                    <w:jc w:val="center"/>
                    <w:rPr>
                      <w:bCs/>
                      <w:szCs w:val="21"/>
                    </w:rPr>
                  </w:pPr>
                  <w:r>
                    <w:rPr>
                      <w:rFonts w:hint="eastAsia"/>
                      <w:bCs/>
                      <w:szCs w:val="21"/>
                    </w:rPr>
                    <w:t>含手工制作、单纯混合或者分装的</w:t>
                  </w:r>
                </w:p>
              </w:tc>
              <w:tc>
                <w:tcPr>
                  <w:tcW w:w="1110" w:type="dxa"/>
                  <w:vAlign w:val="center"/>
                </w:tcPr>
                <w:p>
                  <w:pPr>
                    <w:ind w:left="-16" w:hanging="112"/>
                    <w:jc w:val="center"/>
                    <w:rPr>
                      <w:b/>
                      <w:bCs/>
                      <w:szCs w:val="21"/>
                    </w:rPr>
                  </w:pPr>
                  <w:r>
                    <w:rPr>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jc w:val="center"/>
              </w:trPr>
              <w:tc>
                <w:tcPr>
                  <w:tcW w:w="7938" w:type="dxa"/>
                  <w:gridSpan w:val="5"/>
                  <w:vAlign w:val="center"/>
                </w:tcPr>
                <w:p>
                  <w:pPr>
                    <w:pStyle w:val="61"/>
                    <w:rPr>
                      <w:b/>
                      <w:szCs w:val="21"/>
                    </w:rPr>
                  </w:pPr>
                  <w:r>
                    <w:rPr>
                      <w:rFonts w:hint="eastAsia"/>
                      <w:bCs/>
                      <w:szCs w:val="21"/>
                    </w:rPr>
                    <w:t>二十四、橡胶和塑料制品业29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exact"/>
                <w:jc w:val="center"/>
              </w:trPr>
              <w:tc>
                <w:tcPr>
                  <w:tcW w:w="646" w:type="dxa"/>
                  <w:vAlign w:val="center"/>
                </w:tcPr>
                <w:p>
                  <w:pPr>
                    <w:pStyle w:val="61"/>
                    <w:rPr>
                      <w:b/>
                      <w:szCs w:val="21"/>
                    </w:rPr>
                  </w:pPr>
                  <w:r>
                    <w:rPr>
                      <w:rFonts w:hint="eastAsia"/>
                      <w:bCs/>
                      <w:szCs w:val="21"/>
                    </w:rPr>
                    <w:t>62</w:t>
                  </w:r>
                </w:p>
              </w:tc>
              <w:tc>
                <w:tcPr>
                  <w:tcW w:w="1100" w:type="dxa"/>
                  <w:vAlign w:val="center"/>
                </w:tcPr>
                <w:p>
                  <w:pPr>
                    <w:ind w:left="-16" w:hanging="112"/>
                    <w:jc w:val="center"/>
                    <w:rPr>
                      <w:bCs/>
                      <w:szCs w:val="21"/>
                    </w:rPr>
                  </w:pPr>
                  <w:r>
                    <w:rPr>
                      <w:rFonts w:hint="eastAsia"/>
                      <w:bCs/>
                      <w:szCs w:val="21"/>
                    </w:rPr>
                    <w:t>塑料制品业292</w:t>
                  </w:r>
                </w:p>
              </w:tc>
              <w:tc>
                <w:tcPr>
                  <w:tcW w:w="1438" w:type="dxa"/>
                  <w:vAlign w:val="center"/>
                </w:tcPr>
                <w:p>
                  <w:pPr>
                    <w:ind w:left="-16" w:hanging="112"/>
                    <w:jc w:val="center"/>
                    <w:rPr>
                      <w:bCs/>
                      <w:szCs w:val="21"/>
                    </w:rPr>
                  </w:pPr>
                  <w:r>
                    <w:rPr>
                      <w:rFonts w:hint="eastAsia"/>
                      <w:bCs/>
                      <w:szCs w:val="21"/>
                    </w:rPr>
                    <w:t>塑料人造革、合成革制造2925</w:t>
                  </w:r>
                </w:p>
              </w:tc>
              <w:tc>
                <w:tcPr>
                  <w:tcW w:w="3644" w:type="dxa"/>
                  <w:vAlign w:val="center"/>
                </w:tcPr>
                <w:p>
                  <w:pPr>
                    <w:ind w:left="-16" w:hanging="112"/>
                    <w:jc w:val="center"/>
                    <w:rPr>
                      <w:bCs/>
                      <w:szCs w:val="21"/>
                    </w:rPr>
                  </w:pPr>
                  <w:r>
                    <w:rPr>
                      <w:rFonts w:hint="eastAsia"/>
                      <w:bCs/>
                      <w:szCs w:val="21"/>
                    </w:rPr>
                    <w:t>年产 1 万吨及以上的泡沫塑料制造2924，年产 1 万吨及以上涉及改性的塑料薄膜制造 2921、塑料板、管、型材制造 2922、塑料丝、绳和编织品制造 2923、塑料包装箱及容器制造 2926、日用塑料品制造 2927、人造草坪制造 2928、塑料零件及其他塑料制品制造 2929</w:t>
                  </w:r>
                </w:p>
              </w:tc>
              <w:tc>
                <w:tcPr>
                  <w:tcW w:w="1110" w:type="dxa"/>
                  <w:vAlign w:val="center"/>
                </w:tcPr>
                <w:p>
                  <w:pPr>
                    <w:ind w:left="-16" w:hanging="112"/>
                    <w:jc w:val="center"/>
                    <w:rPr>
                      <w:b/>
                      <w:bCs/>
                      <w:szCs w:val="21"/>
                    </w:rPr>
                  </w:pPr>
                  <w:r>
                    <w:rPr>
                      <w:szCs w:val="21"/>
                    </w:rPr>
                    <w:t>其他*</w:t>
                  </w:r>
                </w:p>
              </w:tc>
            </w:tr>
          </w:tbl>
          <w:p>
            <w:pPr>
              <w:spacing w:line="360" w:lineRule="auto"/>
              <w:ind w:firstLine="482" w:firstLineChars="200"/>
              <w:rPr>
                <w:sz w:val="24"/>
              </w:rPr>
            </w:pPr>
            <w:r>
              <w:rPr>
                <w:rFonts w:hint="eastAsia"/>
                <w:b/>
                <w:bCs/>
                <w:sz w:val="24"/>
              </w:rPr>
              <w:t>十一、电磁辐射</w:t>
            </w:r>
          </w:p>
          <w:p>
            <w:pPr>
              <w:spacing w:line="360" w:lineRule="auto"/>
              <w:ind w:firstLine="480" w:firstLineChars="200"/>
              <w:rPr>
                <w:rFonts w:ascii="宋体" w:hAnsi="宋体" w:cs="宋体"/>
                <w:szCs w:val="21"/>
              </w:rPr>
            </w:pPr>
            <w:r>
              <w:rPr>
                <w:rFonts w:hint="eastAsia"/>
                <w:sz w:val="24"/>
              </w:rPr>
              <w:t>本项目属于【</w:t>
            </w:r>
            <w:r>
              <w:rPr>
                <w:rFonts w:hint="eastAsia"/>
                <w:bCs/>
                <w:sz w:val="24"/>
                <w:szCs w:val="22"/>
              </w:rPr>
              <w:t>C1499</w:t>
            </w:r>
            <w:r>
              <w:rPr>
                <w:rFonts w:hint="eastAsia"/>
                <w:sz w:val="24"/>
              </w:rPr>
              <w:t>】</w:t>
            </w:r>
            <w:r>
              <w:rPr>
                <w:rFonts w:hint="eastAsia"/>
                <w:bCs/>
                <w:sz w:val="24"/>
                <w:szCs w:val="22"/>
              </w:rPr>
              <w:t>其他未列明食品制造、</w:t>
            </w:r>
            <w:r>
              <w:rPr>
                <w:rFonts w:hint="eastAsia"/>
                <w:sz w:val="24"/>
              </w:rPr>
              <w:t>【</w:t>
            </w:r>
            <w:r>
              <w:rPr>
                <w:rFonts w:hint="eastAsia"/>
                <w:bCs/>
                <w:sz w:val="24"/>
                <w:szCs w:val="22"/>
              </w:rPr>
              <w:t>C2926</w:t>
            </w:r>
            <w:r>
              <w:rPr>
                <w:rFonts w:hint="eastAsia"/>
                <w:sz w:val="24"/>
              </w:rPr>
              <w:t>】</w:t>
            </w:r>
            <w:r>
              <w:rPr>
                <w:rFonts w:hint="eastAsia"/>
                <w:bCs/>
                <w:sz w:val="24"/>
                <w:szCs w:val="22"/>
              </w:rPr>
              <w:t>塑料包装箱及容器制造</w:t>
            </w:r>
            <w:r>
              <w:rPr>
                <w:rFonts w:hint="eastAsia"/>
                <w:sz w:val="24"/>
              </w:rPr>
              <w:t>，不属于新建或改建、扩建广播电台、差转台、电视塔台、卫星地球上行站、雷达等电磁辐射类项目，无需开展电磁辐射影响评价</w:t>
            </w: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cols w:space="720" w:num="1"/>
          <w:docGrid w:linePitch="312" w:charSpace="0"/>
        </w:sectPr>
      </w:pPr>
    </w:p>
    <w:p>
      <w:pPr>
        <w:tabs>
          <w:tab w:val="left" w:pos="2707"/>
        </w:tabs>
      </w:pPr>
    </w:p>
    <w:p/>
    <w:p>
      <w:pPr>
        <w:jc w:val="center"/>
      </w:pPr>
      <w:r>
        <w:rPr>
          <w:b/>
          <w:snapToGrid w:val="0"/>
          <w:kern w:val="0"/>
          <w:sz w:val="24"/>
          <w:szCs w:val="22"/>
        </w:rPr>
        <w:t>表</w:t>
      </w:r>
      <w:r>
        <w:rPr>
          <w:rFonts w:hint="eastAsia"/>
          <w:b/>
          <w:snapToGrid w:val="0"/>
          <w:kern w:val="0"/>
          <w:sz w:val="24"/>
          <w:szCs w:val="22"/>
        </w:rPr>
        <w:t>4-1</w:t>
      </w:r>
      <w:r>
        <w:rPr>
          <w:rFonts w:hint="eastAsia"/>
          <w:b/>
          <w:snapToGrid w:val="0"/>
          <w:kern w:val="0"/>
          <w:sz w:val="24"/>
          <w:szCs w:val="22"/>
          <w:lang w:val="en-US" w:eastAsia="zh-CN"/>
        </w:rPr>
        <w:t>9</w:t>
      </w:r>
      <w:r>
        <w:rPr>
          <w:b/>
          <w:snapToGrid w:val="0"/>
          <w:kern w:val="0"/>
          <w:sz w:val="24"/>
          <w:szCs w:val="22"/>
        </w:rPr>
        <w:t xml:space="preserve">   </w:t>
      </w:r>
      <w:r>
        <w:rPr>
          <w:rFonts w:hint="eastAsia"/>
          <w:b/>
          <w:snapToGrid w:val="0"/>
          <w:kern w:val="0"/>
          <w:sz w:val="24"/>
          <w:szCs w:val="22"/>
        </w:rPr>
        <w:t>建设项目污染物排放量汇总表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1517"/>
        <w:gridCol w:w="1517"/>
        <w:gridCol w:w="1517"/>
        <w:gridCol w:w="1517"/>
        <w:gridCol w:w="1517"/>
        <w:gridCol w:w="1517"/>
        <w:gridCol w:w="1517"/>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tcBorders>
              <w:tl2br w:val="single" w:color="auto" w:sz="4" w:space="0"/>
            </w:tcBorders>
            <w:vAlign w:val="center"/>
          </w:tcPr>
          <w:p>
            <w:pPr>
              <w:jc w:val="right"/>
              <w:rPr>
                <w:b/>
              </w:rPr>
            </w:pPr>
          </w:p>
          <w:p>
            <w:pPr>
              <w:jc w:val="right"/>
              <w:rPr>
                <w:b/>
              </w:rPr>
            </w:pPr>
            <w:r>
              <w:rPr>
                <w:rFonts w:hint="eastAsia"/>
                <w:b/>
              </w:rPr>
              <w:t>项目</w:t>
            </w:r>
          </w:p>
          <w:p>
            <w:pPr>
              <w:jc w:val="right"/>
              <w:rPr>
                <w:b/>
              </w:rPr>
            </w:pPr>
          </w:p>
          <w:p>
            <w:pPr>
              <w:jc w:val="left"/>
            </w:pPr>
            <w:r>
              <w:rPr>
                <w:rFonts w:hint="eastAsia"/>
                <w:b/>
              </w:rPr>
              <w:t>分类</w:t>
            </w:r>
          </w:p>
        </w:tc>
        <w:tc>
          <w:tcPr>
            <w:tcW w:w="1517" w:type="dxa"/>
            <w:vAlign w:val="center"/>
          </w:tcPr>
          <w:p>
            <w:pPr>
              <w:jc w:val="center"/>
              <w:rPr>
                <w:b/>
              </w:rPr>
            </w:pPr>
            <w:r>
              <w:rPr>
                <w:rFonts w:hint="eastAsia"/>
                <w:b/>
              </w:rPr>
              <w:t>污染物名称</w:t>
            </w:r>
          </w:p>
        </w:tc>
        <w:tc>
          <w:tcPr>
            <w:tcW w:w="1517" w:type="dxa"/>
            <w:vAlign w:val="center"/>
          </w:tcPr>
          <w:p>
            <w:pPr>
              <w:jc w:val="center"/>
              <w:rPr>
                <w:b/>
              </w:rPr>
            </w:pPr>
            <w:r>
              <w:rPr>
                <w:rFonts w:hint="eastAsia"/>
                <w:b/>
              </w:rPr>
              <w:t>现有工程排放量（固体废物产生量）①</w:t>
            </w:r>
          </w:p>
        </w:tc>
        <w:tc>
          <w:tcPr>
            <w:tcW w:w="1517" w:type="dxa"/>
            <w:vAlign w:val="center"/>
          </w:tcPr>
          <w:p>
            <w:pPr>
              <w:jc w:val="center"/>
              <w:rPr>
                <w:b/>
              </w:rPr>
            </w:pPr>
            <w:r>
              <w:rPr>
                <w:rFonts w:hint="eastAsia"/>
                <w:b/>
              </w:rPr>
              <w:t>现有工程许可排放量②</w:t>
            </w:r>
          </w:p>
        </w:tc>
        <w:tc>
          <w:tcPr>
            <w:tcW w:w="1517" w:type="dxa"/>
            <w:vAlign w:val="center"/>
          </w:tcPr>
          <w:p>
            <w:pPr>
              <w:jc w:val="center"/>
              <w:rPr>
                <w:b/>
              </w:rPr>
            </w:pPr>
            <w:r>
              <w:rPr>
                <w:rFonts w:hint="eastAsia"/>
                <w:b/>
              </w:rPr>
              <w:t>在</w:t>
            </w:r>
            <w:r>
              <w:rPr>
                <w:rFonts w:hint="eastAsia"/>
                <w:b/>
                <w:lang w:eastAsia="zh-CN"/>
              </w:rPr>
              <w:t>建</w:t>
            </w:r>
            <w:r>
              <w:rPr>
                <w:rFonts w:hint="eastAsia"/>
                <w:b/>
              </w:rPr>
              <w:t>工程排放量（固体废物产生量）③</w:t>
            </w:r>
          </w:p>
        </w:tc>
        <w:tc>
          <w:tcPr>
            <w:tcW w:w="1517" w:type="dxa"/>
            <w:vAlign w:val="center"/>
          </w:tcPr>
          <w:p>
            <w:pPr>
              <w:jc w:val="center"/>
              <w:rPr>
                <w:b/>
              </w:rPr>
            </w:pPr>
            <w:r>
              <w:rPr>
                <w:rFonts w:hint="eastAsia"/>
                <w:b/>
              </w:rPr>
              <w:t>本项目排放量（固体废物产生量）④</w:t>
            </w:r>
          </w:p>
        </w:tc>
        <w:tc>
          <w:tcPr>
            <w:tcW w:w="1517" w:type="dxa"/>
            <w:vAlign w:val="center"/>
          </w:tcPr>
          <w:p>
            <w:pPr>
              <w:jc w:val="center"/>
              <w:rPr>
                <w:b/>
              </w:rPr>
            </w:pPr>
            <w:r>
              <w:rPr>
                <w:rFonts w:hint="eastAsia"/>
                <w:b/>
              </w:rPr>
              <w:t>以新带老削减量⑤</w:t>
            </w:r>
          </w:p>
        </w:tc>
        <w:tc>
          <w:tcPr>
            <w:tcW w:w="1517" w:type="dxa"/>
            <w:vAlign w:val="center"/>
          </w:tcPr>
          <w:p>
            <w:pPr>
              <w:jc w:val="center"/>
              <w:rPr>
                <w:b/>
              </w:rPr>
            </w:pPr>
            <w:r>
              <w:rPr>
                <w:rFonts w:hint="eastAsia"/>
                <w:b/>
              </w:rPr>
              <w:t>本项目建成后全厂排放量（固体废物产生量）⑥</w:t>
            </w:r>
          </w:p>
        </w:tc>
        <w:tc>
          <w:tcPr>
            <w:tcW w:w="1517" w:type="dxa"/>
            <w:vAlign w:val="center"/>
          </w:tcPr>
          <w:p>
            <w:pPr>
              <w:jc w:val="center"/>
              <w:rPr>
                <w:b/>
              </w:rPr>
            </w:pPr>
            <w:r>
              <w:rPr>
                <w:rFonts w:hint="eastAsia"/>
                <w:b/>
              </w:rPr>
              <w:t>变化量⑦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restart"/>
            <w:vAlign w:val="center"/>
          </w:tcPr>
          <w:p>
            <w:pPr>
              <w:jc w:val="center"/>
              <w:rPr>
                <w:b/>
              </w:rPr>
            </w:pPr>
            <w:r>
              <w:rPr>
                <w:rFonts w:hint="eastAsia"/>
                <w:b/>
              </w:rPr>
              <w:t>废气</w:t>
            </w:r>
          </w:p>
        </w:tc>
        <w:tc>
          <w:tcPr>
            <w:tcW w:w="1517" w:type="dxa"/>
            <w:vAlign w:val="center"/>
          </w:tcPr>
          <w:p>
            <w:pPr>
              <w:jc w:val="center"/>
            </w:pPr>
            <w:r>
              <w:rPr>
                <w:rFonts w:hint="eastAsia"/>
              </w:rPr>
              <w:t>颗粒物</w:t>
            </w:r>
          </w:p>
        </w:tc>
        <w:tc>
          <w:tcPr>
            <w:tcW w:w="1517" w:type="dxa"/>
            <w:vAlign w:val="center"/>
          </w:tcPr>
          <w:p>
            <w:pPr>
              <w:jc w:val="center"/>
            </w:pPr>
            <w:r>
              <w:rPr>
                <w:rFonts w:hint="eastAsia"/>
              </w:rPr>
              <w:t>0.213</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0.056</w:t>
            </w:r>
          </w:p>
        </w:tc>
        <w:tc>
          <w:tcPr>
            <w:tcW w:w="1517" w:type="dxa"/>
            <w:vAlign w:val="center"/>
          </w:tcPr>
          <w:p>
            <w:pPr>
              <w:jc w:val="center"/>
            </w:pPr>
            <w:r>
              <w:rPr>
                <w:rFonts w:hint="eastAsia"/>
              </w:rPr>
              <w:t>0</w:t>
            </w:r>
          </w:p>
        </w:tc>
        <w:tc>
          <w:tcPr>
            <w:tcW w:w="1517" w:type="dxa"/>
            <w:vAlign w:val="center"/>
          </w:tcPr>
          <w:p>
            <w:pPr>
              <w:jc w:val="center"/>
            </w:pPr>
            <w:r>
              <w:rPr>
                <w:rFonts w:hint="eastAsia"/>
              </w:rPr>
              <w:t>0.269</w:t>
            </w:r>
          </w:p>
        </w:tc>
        <w:tc>
          <w:tcPr>
            <w:tcW w:w="1517" w:type="dxa"/>
            <w:vAlign w:val="center"/>
          </w:tcPr>
          <w:p>
            <w:pPr>
              <w:jc w:val="center"/>
            </w:pPr>
            <w:r>
              <w:rPr>
                <w:rFonts w:hint="eastAsia"/>
              </w:rPr>
              <w:t>+0.056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jc w:val="center"/>
            </w:pPr>
            <w:r>
              <w:rPr>
                <w:rFonts w:hint="eastAsia"/>
              </w:rPr>
              <w:t>非甲烷总烃</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0.123</w:t>
            </w:r>
          </w:p>
        </w:tc>
        <w:tc>
          <w:tcPr>
            <w:tcW w:w="1517" w:type="dxa"/>
            <w:vAlign w:val="center"/>
          </w:tcPr>
          <w:p>
            <w:pPr>
              <w:jc w:val="center"/>
            </w:pPr>
            <w:r>
              <w:rPr>
                <w:rFonts w:hint="eastAsia"/>
              </w:rPr>
              <w:t>0</w:t>
            </w:r>
          </w:p>
        </w:tc>
        <w:tc>
          <w:tcPr>
            <w:tcW w:w="1517" w:type="dxa"/>
            <w:vAlign w:val="center"/>
          </w:tcPr>
          <w:p>
            <w:pPr>
              <w:jc w:val="center"/>
            </w:pPr>
            <w:r>
              <w:rPr>
                <w:rFonts w:hint="eastAsia"/>
              </w:rPr>
              <w:t>0.123</w:t>
            </w:r>
          </w:p>
        </w:tc>
        <w:tc>
          <w:tcPr>
            <w:tcW w:w="1517" w:type="dxa"/>
            <w:vAlign w:val="center"/>
          </w:tcPr>
          <w:p>
            <w:pPr>
              <w:jc w:val="center"/>
            </w:pPr>
            <w:r>
              <w:rPr>
                <w:rFonts w:hint="eastAsia"/>
              </w:rPr>
              <w:t>+0.123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pStyle w:val="68"/>
            </w:pPr>
            <w:r>
              <w:rPr>
                <w:color w:val="auto"/>
              </w:rPr>
              <w:t>SO</w:t>
            </w:r>
            <w:r>
              <w:rPr>
                <w:color w:val="auto"/>
                <w:vertAlign w:val="subscript"/>
              </w:rPr>
              <w:t>2</w:t>
            </w:r>
          </w:p>
        </w:tc>
        <w:tc>
          <w:tcPr>
            <w:tcW w:w="1517" w:type="dxa"/>
            <w:vAlign w:val="center"/>
          </w:tcPr>
          <w:p>
            <w:pPr>
              <w:pStyle w:val="68"/>
            </w:pPr>
            <w:r>
              <w:rPr>
                <w:rFonts w:hint="eastAsia"/>
                <w:color w:val="auto"/>
              </w:rPr>
              <w:t>0.01</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0.01</w:t>
            </w:r>
          </w:p>
        </w:tc>
        <w:tc>
          <w:tcPr>
            <w:tcW w:w="1517"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pStyle w:val="68"/>
            </w:pPr>
            <w:r>
              <w:rPr>
                <w:color w:val="auto"/>
              </w:rPr>
              <w:t>NO</w:t>
            </w:r>
            <w:r>
              <w:rPr>
                <w:color w:val="auto"/>
                <w:vertAlign w:val="subscript"/>
              </w:rPr>
              <w:t>X</w:t>
            </w:r>
          </w:p>
        </w:tc>
        <w:tc>
          <w:tcPr>
            <w:tcW w:w="1517" w:type="dxa"/>
            <w:vAlign w:val="center"/>
          </w:tcPr>
          <w:p>
            <w:pPr>
              <w:pStyle w:val="68"/>
            </w:pPr>
            <w:r>
              <w:rPr>
                <w:color w:val="auto"/>
              </w:rPr>
              <w:t>0.</w:t>
            </w:r>
            <w:r>
              <w:rPr>
                <w:rFonts w:hint="eastAsia"/>
                <w:color w:val="auto"/>
              </w:rPr>
              <w:t>781</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0.781</w:t>
            </w:r>
          </w:p>
        </w:tc>
        <w:tc>
          <w:tcPr>
            <w:tcW w:w="1517"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pStyle w:val="68"/>
              <w:rPr>
                <w:color w:val="auto"/>
              </w:rPr>
            </w:pPr>
            <w:r>
              <w:rPr>
                <w:rFonts w:hint="eastAsia"/>
                <w:color w:val="auto"/>
              </w:rPr>
              <w:t>油烟</w:t>
            </w:r>
          </w:p>
        </w:tc>
        <w:tc>
          <w:tcPr>
            <w:tcW w:w="1517" w:type="dxa"/>
            <w:vAlign w:val="center"/>
          </w:tcPr>
          <w:p>
            <w:pPr>
              <w:jc w:val="center"/>
              <w:rPr>
                <w:szCs w:val="21"/>
              </w:rPr>
            </w:pPr>
            <w:r>
              <w:rPr>
                <w:rFonts w:hint="eastAsia"/>
                <w:szCs w:val="21"/>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0.027</w:t>
            </w:r>
          </w:p>
        </w:tc>
        <w:tc>
          <w:tcPr>
            <w:tcW w:w="1517" w:type="dxa"/>
            <w:vAlign w:val="center"/>
          </w:tcPr>
          <w:p>
            <w:pPr>
              <w:jc w:val="center"/>
            </w:pPr>
            <w:r>
              <w:rPr>
                <w:rFonts w:hint="eastAsia"/>
              </w:rPr>
              <w:t>0</w:t>
            </w:r>
          </w:p>
        </w:tc>
        <w:tc>
          <w:tcPr>
            <w:tcW w:w="1517" w:type="dxa"/>
            <w:vAlign w:val="center"/>
          </w:tcPr>
          <w:p>
            <w:pPr>
              <w:jc w:val="center"/>
            </w:pPr>
            <w:r>
              <w:rPr>
                <w:rFonts w:hint="eastAsia"/>
              </w:rPr>
              <w:t>0.027</w:t>
            </w:r>
          </w:p>
        </w:tc>
        <w:tc>
          <w:tcPr>
            <w:tcW w:w="1517" w:type="dxa"/>
            <w:vAlign w:val="center"/>
          </w:tcPr>
          <w:p>
            <w:pPr>
              <w:jc w:val="center"/>
            </w:pPr>
            <w:r>
              <w:rPr>
                <w:rFonts w:hint="eastAsia"/>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restart"/>
            <w:vAlign w:val="center"/>
          </w:tcPr>
          <w:p>
            <w:pPr>
              <w:jc w:val="center"/>
              <w:rPr>
                <w:b/>
              </w:rPr>
            </w:pPr>
            <w:r>
              <w:rPr>
                <w:rFonts w:hint="eastAsia"/>
                <w:b/>
              </w:rPr>
              <w:t>废水</w:t>
            </w:r>
          </w:p>
        </w:tc>
        <w:tc>
          <w:tcPr>
            <w:tcW w:w="1517" w:type="dxa"/>
            <w:vAlign w:val="center"/>
          </w:tcPr>
          <w:p>
            <w:pPr>
              <w:jc w:val="center"/>
            </w:pPr>
            <w:r>
              <w:rPr>
                <w:rFonts w:hint="eastAsia"/>
              </w:rPr>
              <w:t>COD</w:t>
            </w:r>
          </w:p>
        </w:tc>
        <w:tc>
          <w:tcPr>
            <w:tcW w:w="1517" w:type="dxa"/>
            <w:vAlign w:val="center"/>
          </w:tcPr>
          <w:p>
            <w:pPr>
              <w:jc w:val="center"/>
            </w:pPr>
            <w:r>
              <w:rPr>
                <w:rFonts w:hint="eastAsia"/>
                <w:szCs w:val="21"/>
              </w:rPr>
              <w:t>0.242</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0.737</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0.979</w:t>
            </w:r>
          </w:p>
        </w:tc>
        <w:tc>
          <w:tcPr>
            <w:tcW w:w="1517" w:type="dxa"/>
            <w:vAlign w:val="center"/>
          </w:tcPr>
          <w:p>
            <w:pPr>
              <w:jc w:val="center"/>
              <w:rPr>
                <w:szCs w:val="21"/>
              </w:rPr>
            </w:pPr>
            <w:r>
              <w:rPr>
                <w:rFonts w:hint="eastAsia"/>
                <w:szCs w:val="21"/>
              </w:rPr>
              <w:t>+0.737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jc w:val="center"/>
            </w:pPr>
            <w:r>
              <w:rPr>
                <w:rFonts w:hint="eastAsia"/>
              </w:rPr>
              <w:t>BOD</w:t>
            </w:r>
            <w:r>
              <w:rPr>
                <w:rFonts w:hint="eastAsia"/>
                <w:vertAlign w:val="subscript"/>
              </w:rPr>
              <w:t>5</w:t>
            </w:r>
          </w:p>
        </w:tc>
        <w:tc>
          <w:tcPr>
            <w:tcW w:w="1517" w:type="dxa"/>
            <w:vAlign w:val="center"/>
          </w:tcPr>
          <w:p>
            <w:pPr>
              <w:jc w:val="center"/>
            </w:pPr>
            <w:r>
              <w:rPr>
                <w:rFonts w:hint="eastAsia"/>
              </w:rPr>
              <w:t>0.058</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0.059</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0.117</w:t>
            </w:r>
          </w:p>
        </w:tc>
        <w:tc>
          <w:tcPr>
            <w:tcW w:w="1517" w:type="dxa"/>
            <w:vAlign w:val="center"/>
          </w:tcPr>
          <w:p>
            <w:pPr>
              <w:jc w:val="center"/>
              <w:rPr>
                <w:szCs w:val="21"/>
              </w:rPr>
            </w:pPr>
            <w:r>
              <w:rPr>
                <w:rFonts w:hint="eastAsia"/>
                <w:szCs w:val="21"/>
              </w:rPr>
              <w:t>+0.059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jc w:val="center"/>
            </w:pPr>
            <w:r>
              <w:rPr>
                <w:rFonts w:hint="eastAsia"/>
              </w:rPr>
              <w:t>SS</w:t>
            </w:r>
          </w:p>
        </w:tc>
        <w:tc>
          <w:tcPr>
            <w:tcW w:w="1517" w:type="dxa"/>
            <w:vAlign w:val="center"/>
          </w:tcPr>
          <w:p>
            <w:pPr>
              <w:jc w:val="center"/>
            </w:pPr>
            <w:r>
              <w:rPr>
                <w:rFonts w:hint="eastAsia"/>
              </w:rPr>
              <w:t>0.16</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0.265</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0.425</w:t>
            </w:r>
          </w:p>
        </w:tc>
        <w:tc>
          <w:tcPr>
            <w:tcW w:w="1517" w:type="dxa"/>
            <w:vAlign w:val="center"/>
          </w:tcPr>
          <w:p>
            <w:pPr>
              <w:jc w:val="center"/>
              <w:rPr>
                <w:szCs w:val="21"/>
              </w:rPr>
            </w:pPr>
            <w:r>
              <w:rPr>
                <w:rFonts w:hint="eastAsia"/>
                <w:szCs w:val="21"/>
              </w:rPr>
              <w:t>+0.265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jc w:val="center"/>
            </w:pPr>
            <w:r>
              <w:rPr>
                <w:rFonts w:hint="eastAsia"/>
              </w:rPr>
              <w:t>NH-N</w:t>
            </w:r>
          </w:p>
        </w:tc>
        <w:tc>
          <w:tcPr>
            <w:tcW w:w="1517" w:type="dxa"/>
            <w:vAlign w:val="center"/>
          </w:tcPr>
          <w:p>
            <w:pPr>
              <w:jc w:val="center"/>
            </w:pPr>
            <w:r>
              <w:rPr>
                <w:rFonts w:hint="eastAsia"/>
                <w:szCs w:val="21"/>
              </w:rPr>
              <w:t>0.01</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0.014</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0.024</w:t>
            </w:r>
          </w:p>
        </w:tc>
        <w:tc>
          <w:tcPr>
            <w:tcW w:w="1517" w:type="dxa"/>
            <w:vAlign w:val="center"/>
          </w:tcPr>
          <w:p>
            <w:pPr>
              <w:jc w:val="center"/>
              <w:rPr>
                <w:szCs w:val="21"/>
              </w:rPr>
            </w:pPr>
            <w:r>
              <w:rPr>
                <w:rFonts w:hint="eastAsia"/>
                <w:szCs w:val="21"/>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jc w:val="center"/>
            </w:pPr>
            <w:r>
              <w:rPr>
                <w:rFonts w:hint="eastAsia"/>
              </w:rPr>
              <w:t>TP</w:t>
            </w:r>
          </w:p>
        </w:tc>
        <w:tc>
          <w:tcPr>
            <w:tcW w:w="1517" w:type="dxa"/>
            <w:vAlign w:val="center"/>
          </w:tcPr>
          <w:p>
            <w:pPr>
              <w:jc w:val="center"/>
            </w:pPr>
            <w:r>
              <w:rPr>
                <w:rFonts w:hint="eastAsia"/>
              </w:rPr>
              <w:t>0.04</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0.014</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0.054</w:t>
            </w:r>
          </w:p>
        </w:tc>
        <w:tc>
          <w:tcPr>
            <w:tcW w:w="1517" w:type="dxa"/>
            <w:vAlign w:val="center"/>
          </w:tcPr>
          <w:p>
            <w:pPr>
              <w:jc w:val="center"/>
              <w:rPr>
                <w:szCs w:val="21"/>
              </w:rPr>
            </w:pPr>
            <w:r>
              <w:rPr>
                <w:rFonts w:hint="eastAsia"/>
                <w:szCs w:val="21"/>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jc w:val="center"/>
            </w:pPr>
            <w:r>
              <w:rPr>
                <w:rFonts w:hint="eastAsia"/>
              </w:rPr>
              <w:t>动植物油</w:t>
            </w:r>
          </w:p>
        </w:tc>
        <w:tc>
          <w:tcPr>
            <w:tcW w:w="1517" w:type="dxa"/>
            <w:vAlign w:val="center"/>
          </w:tcPr>
          <w:p>
            <w:pPr>
              <w:jc w:val="center"/>
            </w:pPr>
            <w:r>
              <w:rPr>
                <w:rFonts w:hint="eastAsia"/>
              </w:rPr>
              <w:t>0.04</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0.043</w:t>
            </w:r>
          </w:p>
        </w:tc>
        <w:tc>
          <w:tcPr>
            <w:tcW w:w="1517" w:type="dxa"/>
            <w:vAlign w:val="center"/>
          </w:tcPr>
          <w:p>
            <w:pPr>
              <w:jc w:val="center"/>
            </w:pPr>
            <w:r>
              <w:rPr>
                <w:rFonts w:hint="eastAsia"/>
              </w:rPr>
              <w:t>0</w:t>
            </w:r>
          </w:p>
        </w:tc>
        <w:tc>
          <w:tcPr>
            <w:tcW w:w="1517" w:type="dxa"/>
            <w:vAlign w:val="center"/>
          </w:tcPr>
          <w:p>
            <w:pPr>
              <w:jc w:val="center"/>
              <w:rPr>
                <w:szCs w:val="21"/>
              </w:rPr>
            </w:pPr>
            <w:r>
              <w:rPr>
                <w:rFonts w:hint="eastAsia"/>
                <w:szCs w:val="21"/>
              </w:rPr>
              <w:t>0.083</w:t>
            </w:r>
          </w:p>
        </w:tc>
        <w:tc>
          <w:tcPr>
            <w:tcW w:w="1517" w:type="dxa"/>
            <w:vAlign w:val="center"/>
          </w:tcPr>
          <w:p>
            <w:pPr>
              <w:jc w:val="center"/>
              <w:rPr>
                <w:szCs w:val="21"/>
              </w:rPr>
            </w:pPr>
            <w:r>
              <w:rPr>
                <w:rFonts w:hint="eastAsia"/>
                <w:szCs w:val="21"/>
              </w:rPr>
              <w:t>+0.043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restart"/>
            <w:vAlign w:val="center"/>
          </w:tcPr>
          <w:p>
            <w:pPr>
              <w:jc w:val="center"/>
              <w:rPr>
                <w:b/>
              </w:rPr>
            </w:pPr>
            <w:r>
              <w:rPr>
                <w:rFonts w:hint="eastAsia"/>
                <w:b/>
              </w:rPr>
              <w:t>一般工业固体废物</w:t>
            </w:r>
          </w:p>
        </w:tc>
        <w:tc>
          <w:tcPr>
            <w:tcW w:w="1517" w:type="dxa"/>
            <w:vAlign w:val="center"/>
          </w:tcPr>
          <w:p>
            <w:pPr>
              <w:adjustRightInd w:val="0"/>
              <w:snapToGrid w:val="0"/>
              <w:jc w:val="center"/>
              <w:rPr>
                <w:szCs w:val="21"/>
              </w:rPr>
            </w:pPr>
            <w:r>
              <w:rPr>
                <w:rFonts w:hint="eastAsia"/>
                <w:szCs w:val="21"/>
              </w:rPr>
              <w:t>不合格原料</w:t>
            </w:r>
          </w:p>
        </w:tc>
        <w:tc>
          <w:tcPr>
            <w:tcW w:w="1517" w:type="dxa"/>
            <w:vAlign w:val="center"/>
          </w:tcPr>
          <w:p>
            <w:pPr>
              <w:jc w:val="center"/>
            </w:pPr>
            <w:r>
              <w:rPr>
                <w:rFonts w:hint="eastAsia"/>
              </w:rPr>
              <w:t>5</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5</w:t>
            </w:r>
          </w:p>
        </w:tc>
        <w:tc>
          <w:tcPr>
            <w:tcW w:w="1517" w:type="dxa"/>
            <w:vAlign w:val="center"/>
          </w:tcPr>
          <w:p>
            <w:pPr>
              <w:adjustRightInd w:val="0"/>
              <w:snapToGrid w:val="0"/>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adjustRightInd w:val="0"/>
              <w:snapToGrid w:val="0"/>
              <w:jc w:val="center"/>
              <w:rPr>
                <w:szCs w:val="21"/>
              </w:rPr>
            </w:pPr>
            <w:r>
              <w:rPr>
                <w:rFonts w:hint="eastAsia"/>
                <w:szCs w:val="21"/>
              </w:rPr>
              <w:t>不合格产品</w:t>
            </w:r>
          </w:p>
        </w:tc>
        <w:tc>
          <w:tcPr>
            <w:tcW w:w="1517" w:type="dxa"/>
            <w:vAlign w:val="center"/>
          </w:tcPr>
          <w:p>
            <w:pPr>
              <w:jc w:val="center"/>
            </w:pPr>
            <w:r>
              <w:rPr>
                <w:rFonts w:hint="eastAsia"/>
              </w:rPr>
              <w:t>5</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5</w:t>
            </w:r>
          </w:p>
        </w:tc>
        <w:tc>
          <w:tcPr>
            <w:tcW w:w="1517" w:type="dxa"/>
            <w:vAlign w:val="center"/>
          </w:tcPr>
          <w:p>
            <w:pPr>
              <w:adjustRightInd w:val="0"/>
              <w:snapToGrid w:val="0"/>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adjustRightInd w:val="0"/>
              <w:snapToGrid w:val="0"/>
              <w:jc w:val="center"/>
              <w:rPr>
                <w:szCs w:val="21"/>
              </w:rPr>
            </w:pPr>
            <w:r>
              <w:rPr>
                <w:rFonts w:hint="eastAsia"/>
                <w:szCs w:val="21"/>
              </w:rPr>
              <w:t>废原料菜</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7</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7</w:t>
            </w:r>
          </w:p>
        </w:tc>
        <w:tc>
          <w:tcPr>
            <w:tcW w:w="1517" w:type="dxa"/>
            <w:vAlign w:val="center"/>
          </w:tcPr>
          <w:p>
            <w:pPr>
              <w:adjustRightInd w:val="0"/>
              <w:snapToGrid w:val="0"/>
              <w:jc w:val="cente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adjustRightInd w:val="0"/>
              <w:snapToGrid w:val="0"/>
              <w:jc w:val="center"/>
              <w:rPr>
                <w:szCs w:val="21"/>
              </w:rPr>
            </w:pPr>
            <w:r>
              <w:rPr>
                <w:rFonts w:hint="eastAsia"/>
                <w:szCs w:val="21"/>
              </w:rPr>
              <w:t>废谷物</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1.2</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1.2</w:t>
            </w:r>
          </w:p>
        </w:tc>
        <w:tc>
          <w:tcPr>
            <w:tcW w:w="1517" w:type="dxa"/>
            <w:vAlign w:val="center"/>
          </w:tcPr>
          <w:p>
            <w:pPr>
              <w:adjustRightInd w:val="0"/>
              <w:snapToGrid w:val="0"/>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adjustRightInd w:val="0"/>
              <w:snapToGrid w:val="0"/>
              <w:jc w:val="center"/>
              <w:rPr>
                <w:szCs w:val="21"/>
              </w:rPr>
            </w:pPr>
            <w:r>
              <w:rPr>
                <w:rFonts w:hint="eastAsia"/>
                <w:szCs w:val="21"/>
              </w:rPr>
              <w:t>收集粉尘</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1.07</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1.07</w:t>
            </w:r>
          </w:p>
        </w:tc>
        <w:tc>
          <w:tcPr>
            <w:tcW w:w="1517" w:type="dxa"/>
            <w:vAlign w:val="center"/>
          </w:tcPr>
          <w:p>
            <w:pPr>
              <w:adjustRightInd w:val="0"/>
              <w:snapToGrid w:val="0"/>
              <w:jc w:val="center"/>
            </w:pPr>
            <w:r>
              <w:rPr>
                <w:rFonts w:hint="eastAsia"/>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adjustRightInd w:val="0"/>
              <w:snapToGrid w:val="0"/>
              <w:jc w:val="center"/>
              <w:rPr>
                <w:szCs w:val="21"/>
              </w:rPr>
            </w:pPr>
            <w:r>
              <w:rPr>
                <w:rFonts w:hint="eastAsia"/>
                <w:szCs w:val="21"/>
              </w:rPr>
              <w:t>污泥</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0.8</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0.8</w:t>
            </w:r>
          </w:p>
        </w:tc>
        <w:tc>
          <w:tcPr>
            <w:tcW w:w="1517" w:type="dxa"/>
            <w:vAlign w:val="center"/>
          </w:tcPr>
          <w:p>
            <w:pPr>
              <w:adjustRightInd w:val="0"/>
              <w:snapToGrid w:val="0"/>
              <w:jc w:val="cente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adjustRightInd w:val="0"/>
              <w:snapToGrid w:val="0"/>
              <w:jc w:val="center"/>
              <w:rPr>
                <w:szCs w:val="21"/>
              </w:rPr>
            </w:pPr>
            <w:r>
              <w:rPr>
                <w:rFonts w:hint="eastAsia"/>
                <w:szCs w:val="21"/>
              </w:rPr>
              <w:t>废包装材料</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2</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2</w:t>
            </w:r>
          </w:p>
        </w:tc>
        <w:tc>
          <w:tcPr>
            <w:tcW w:w="1517" w:type="dxa"/>
            <w:vAlign w:val="center"/>
          </w:tcPr>
          <w:p>
            <w:pPr>
              <w:adjustRightInd w:val="0"/>
              <w:snapToGrid w:val="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Merge w:val="continue"/>
            <w:vAlign w:val="center"/>
          </w:tcPr>
          <w:p>
            <w:pPr>
              <w:jc w:val="center"/>
              <w:rPr>
                <w:b/>
              </w:rPr>
            </w:pPr>
          </w:p>
        </w:tc>
        <w:tc>
          <w:tcPr>
            <w:tcW w:w="1517" w:type="dxa"/>
            <w:vAlign w:val="center"/>
          </w:tcPr>
          <w:p>
            <w:pPr>
              <w:adjustRightInd w:val="0"/>
              <w:snapToGrid w:val="0"/>
              <w:jc w:val="center"/>
              <w:rPr>
                <w:szCs w:val="21"/>
              </w:rPr>
            </w:pPr>
            <w:r>
              <w:rPr>
                <w:rFonts w:hint="eastAsia"/>
                <w:szCs w:val="21"/>
              </w:rPr>
              <w:t>废布袋</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0.01</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0.01</w:t>
            </w:r>
          </w:p>
        </w:tc>
        <w:tc>
          <w:tcPr>
            <w:tcW w:w="1517" w:type="dxa"/>
            <w:vAlign w:val="center"/>
          </w:tcPr>
          <w:p>
            <w:pPr>
              <w:adjustRightInd w:val="0"/>
              <w:snapToGrid w:val="0"/>
              <w:jc w:val="center"/>
            </w:pPr>
            <w:r>
              <w:rPr>
                <w:rFonts w:hint="eastAsi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Align w:val="center"/>
          </w:tcPr>
          <w:p>
            <w:pPr>
              <w:jc w:val="center"/>
              <w:rPr>
                <w:b/>
              </w:rPr>
            </w:pPr>
            <w:r>
              <w:rPr>
                <w:rFonts w:hint="eastAsia"/>
                <w:b/>
              </w:rPr>
              <w:t>生活垃圾</w:t>
            </w:r>
          </w:p>
        </w:tc>
        <w:tc>
          <w:tcPr>
            <w:tcW w:w="1517" w:type="dxa"/>
            <w:vAlign w:val="center"/>
          </w:tcPr>
          <w:p>
            <w:pPr>
              <w:adjustRightInd w:val="0"/>
              <w:snapToGrid w:val="0"/>
              <w:jc w:val="center"/>
              <w:rPr>
                <w:szCs w:val="21"/>
              </w:rPr>
            </w:pPr>
            <w:r>
              <w:rPr>
                <w:rFonts w:hint="eastAsia"/>
                <w:szCs w:val="21"/>
              </w:rPr>
              <w:t>生活垃圾</w:t>
            </w:r>
          </w:p>
        </w:tc>
        <w:tc>
          <w:tcPr>
            <w:tcW w:w="1517" w:type="dxa"/>
            <w:vAlign w:val="center"/>
          </w:tcPr>
          <w:p>
            <w:pPr>
              <w:jc w:val="center"/>
            </w:pPr>
            <w:r>
              <w:rPr>
                <w:rFonts w:hint="eastAsia"/>
              </w:rPr>
              <w:t>7.5</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30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37.5</w:t>
            </w:r>
          </w:p>
        </w:tc>
        <w:tc>
          <w:tcPr>
            <w:tcW w:w="1517" w:type="dxa"/>
            <w:vAlign w:val="center"/>
          </w:tcPr>
          <w:p>
            <w:pPr>
              <w:adjustRightInd w:val="0"/>
              <w:snapToGrid w:val="0"/>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16" w:type="dxa"/>
            <w:vAlign w:val="center"/>
          </w:tcPr>
          <w:p>
            <w:pPr>
              <w:jc w:val="center"/>
              <w:rPr>
                <w:b/>
              </w:rPr>
            </w:pPr>
            <w:r>
              <w:rPr>
                <w:rFonts w:hint="eastAsia"/>
                <w:b/>
              </w:rPr>
              <w:t>危险废物</w:t>
            </w:r>
          </w:p>
        </w:tc>
        <w:tc>
          <w:tcPr>
            <w:tcW w:w="1517" w:type="dxa"/>
            <w:vAlign w:val="center"/>
          </w:tcPr>
          <w:p>
            <w:pPr>
              <w:adjustRightInd w:val="0"/>
              <w:snapToGrid w:val="0"/>
              <w:jc w:val="center"/>
              <w:rPr>
                <w:szCs w:val="21"/>
              </w:rPr>
            </w:pPr>
            <w:r>
              <w:rPr>
                <w:rFonts w:hint="eastAsia"/>
                <w:szCs w:val="21"/>
              </w:rPr>
              <w:t>废活性炭</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4.05</w:t>
            </w:r>
          </w:p>
        </w:tc>
        <w:tc>
          <w:tcPr>
            <w:tcW w:w="1517" w:type="dxa"/>
            <w:vAlign w:val="center"/>
          </w:tcPr>
          <w:p>
            <w:pPr>
              <w:jc w:val="center"/>
            </w:pPr>
            <w:r>
              <w:rPr>
                <w:rFonts w:hint="eastAsia"/>
              </w:rPr>
              <w:t>0</w:t>
            </w:r>
          </w:p>
        </w:tc>
        <w:tc>
          <w:tcPr>
            <w:tcW w:w="1517" w:type="dxa"/>
            <w:vAlign w:val="center"/>
          </w:tcPr>
          <w:p>
            <w:pPr>
              <w:adjustRightInd w:val="0"/>
              <w:snapToGrid w:val="0"/>
              <w:jc w:val="center"/>
            </w:pPr>
            <w:r>
              <w:rPr>
                <w:rFonts w:hint="eastAsia"/>
              </w:rPr>
              <w:t>4.05</w:t>
            </w:r>
          </w:p>
        </w:tc>
        <w:tc>
          <w:tcPr>
            <w:tcW w:w="1517" w:type="dxa"/>
            <w:vAlign w:val="center"/>
          </w:tcPr>
          <w:p>
            <w:pPr>
              <w:adjustRightInd w:val="0"/>
              <w:snapToGrid w:val="0"/>
              <w:jc w:val="center"/>
            </w:pPr>
            <w:r>
              <w:rPr>
                <w:rFonts w:hint="eastAsia"/>
              </w:rPr>
              <w:t>+4.05</w:t>
            </w:r>
          </w:p>
        </w:tc>
      </w:tr>
    </w:tbl>
    <w:p>
      <w:pPr>
        <w:jc w:val="left"/>
      </w:pPr>
      <w:r>
        <w:rPr>
          <w:rFonts w:hint="eastAsia"/>
        </w:rPr>
        <w:t>注：⑥=①+③+④-⑤；⑦=⑥-①</w:t>
      </w:r>
    </w:p>
    <w:p>
      <w:pPr>
        <w:jc w:val="left"/>
      </w:pPr>
    </w:p>
    <w:p>
      <w:pPr>
        <w:jc w:val="left"/>
        <w:sectPr>
          <w:pgSz w:w="16838" w:h="11906" w:orient="landscape"/>
          <w:pgMar w:top="1531" w:right="1701" w:bottom="1531" w:left="1701" w:header="851" w:footer="851" w:gutter="0"/>
          <w:cols w:space="720" w:num="1"/>
          <w:docGrid w:linePitch="312" w:charSpace="0"/>
        </w:sectPr>
      </w:pPr>
      <w:r>
        <w:rPr>
          <w:rFonts w:hint="eastAsia"/>
        </w:rPr>
        <w:t>（注：填写建设项目污染物排放量汇总表，其中现有工程污染物排放情况根据排污许可证执行报告填写，无排污许可证执行报告或执行报告中无相关内容的，通过监测数据核算现有工程污染物排放情况。）</w:t>
      </w:r>
    </w:p>
    <w:p>
      <w:pPr>
        <w:pStyle w:val="19"/>
        <w:spacing w:before="0" w:beforeAutospacing="0" w:after="0" w:afterAutospacing="0"/>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5" w:name="_Hlk54167917"/>
      <w:r>
        <w:rPr>
          <w:rFonts w:hint="eastAsia" w:ascii="黑体" w:hAnsi="黑体" w:eastAsia="黑体"/>
          <w:snapToGrid w:val="0"/>
          <w:sz w:val="30"/>
          <w:szCs w:val="30"/>
        </w:rPr>
        <w:t>环境保护措施监督检查清单</w:t>
      </w:r>
      <w:bookmarkEnd w:id="5"/>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725"/>
        <w:gridCol w:w="1175"/>
        <w:gridCol w:w="2200"/>
        <w:gridCol w:w="32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494" w:type="dxa"/>
            <w:tcBorders>
              <w:top w:val="single" w:color="auto" w:sz="4" w:space="0"/>
              <w:left w:val="single" w:color="auto" w:sz="4" w:space="0"/>
              <w:bottom w:val="single" w:color="auto" w:sz="4" w:space="0"/>
              <w:tl2br w:val="single" w:color="auto" w:sz="4" w:space="0"/>
            </w:tcBorders>
          </w:tcPr>
          <w:p>
            <w:pPr>
              <w:adjustRightInd w:val="0"/>
              <w:snapToGrid w:val="0"/>
              <w:ind w:firstLine="840"/>
              <w:rPr>
                <w:b/>
                <w:szCs w:val="21"/>
              </w:rPr>
            </w:pPr>
            <w:r>
              <w:rPr>
                <w:rFonts w:hAnsi="宋体"/>
                <w:b/>
                <w:szCs w:val="21"/>
              </w:rPr>
              <w:t>内容</w:t>
            </w:r>
          </w:p>
          <w:p>
            <w:pPr>
              <w:adjustRightInd w:val="0"/>
              <w:snapToGrid w:val="0"/>
              <w:rPr>
                <w:b/>
                <w:szCs w:val="21"/>
              </w:rPr>
            </w:pPr>
            <w:r>
              <w:rPr>
                <w:rFonts w:hAnsi="宋体"/>
                <w:b/>
                <w:szCs w:val="21"/>
              </w:rPr>
              <w:t>要素</w:t>
            </w:r>
          </w:p>
        </w:tc>
        <w:tc>
          <w:tcPr>
            <w:tcW w:w="725" w:type="dxa"/>
            <w:tcBorders>
              <w:top w:val="single" w:color="auto" w:sz="4" w:space="0"/>
              <w:bottom w:val="single" w:color="auto" w:sz="4" w:space="0"/>
            </w:tcBorders>
            <w:vAlign w:val="center"/>
          </w:tcPr>
          <w:p>
            <w:pPr>
              <w:adjustRightInd w:val="0"/>
              <w:snapToGrid w:val="0"/>
              <w:jc w:val="center"/>
              <w:rPr>
                <w:b/>
                <w:szCs w:val="21"/>
              </w:rPr>
            </w:pPr>
            <w:r>
              <w:rPr>
                <w:rFonts w:hAnsi="宋体"/>
                <w:b/>
                <w:szCs w:val="21"/>
              </w:rPr>
              <w:t>污染源</w:t>
            </w:r>
          </w:p>
        </w:tc>
        <w:tc>
          <w:tcPr>
            <w:tcW w:w="1175" w:type="dxa"/>
            <w:tcBorders>
              <w:top w:val="single" w:color="auto" w:sz="4" w:space="0"/>
              <w:bottom w:val="single" w:color="auto" w:sz="4" w:space="0"/>
            </w:tcBorders>
            <w:vAlign w:val="center"/>
          </w:tcPr>
          <w:p>
            <w:pPr>
              <w:adjustRightInd w:val="0"/>
              <w:snapToGrid w:val="0"/>
              <w:jc w:val="center"/>
              <w:rPr>
                <w:b/>
                <w:szCs w:val="21"/>
              </w:rPr>
            </w:pPr>
            <w:r>
              <w:rPr>
                <w:rFonts w:hAnsi="宋体"/>
                <w:b/>
                <w:szCs w:val="21"/>
              </w:rPr>
              <w:t>污染物项目</w:t>
            </w:r>
          </w:p>
        </w:tc>
        <w:tc>
          <w:tcPr>
            <w:tcW w:w="2200" w:type="dxa"/>
            <w:tcBorders>
              <w:top w:val="single" w:color="auto" w:sz="4" w:space="0"/>
              <w:bottom w:val="single" w:color="auto" w:sz="4" w:space="0"/>
            </w:tcBorders>
            <w:vAlign w:val="center"/>
          </w:tcPr>
          <w:p>
            <w:pPr>
              <w:adjustRightInd w:val="0"/>
              <w:snapToGrid w:val="0"/>
              <w:jc w:val="center"/>
              <w:rPr>
                <w:b/>
                <w:szCs w:val="21"/>
              </w:rPr>
            </w:pPr>
            <w:r>
              <w:rPr>
                <w:rFonts w:hAnsi="宋体"/>
                <w:b/>
                <w:szCs w:val="21"/>
              </w:rPr>
              <w:t>环境保护措施</w:t>
            </w:r>
          </w:p>
        </w:tc>
        <w:tc>
          <w:tcPr>
            <w:tcW w:w="3206" w:type="dxa"/>
            <w:tcBorders>
              <w:top w:val="single" w:color="auto" w:sz="4" w:space="0"/>
              <w:bottom w:val="single" w:color="auto" w:sz="4" w:space="0"/>
              <w:right w:val="single" w:color="auto" w:sz="4" w:space="0"/>
            </w:tcBorders>
            <w:vAlign w:val="center"/>
          </w:tcPr>
          <w:p>
            <w:pPr>
              <w:adjustRightInd w:val="0"/>
              <w:snapToGrid w:val="0"/>
              <w:jc w:val="center"/>
              <w:rPr>
                <w:b/>
                <w:szCs w:val="21"/>
              </w:rPr>
            </w:pPr>
            <w:r>
              <w:rPr>
                <w:rFonts w:hAnsi="宋体"/>
                <w:b/>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vMerge w:val="restart"/>
            <w:tcBorders>
              <w:top w:val="single" w:color="auto" w:sz="4" w:space="0"/>
              <w:left w:val="single" w:color="auto" w:sz="4" w:space="0"/>
            </w:tcBorders>
            <w:vAlign w:val="center"/>
          </w:tcPr>
          <w:p>
            <w:pPr>
              <w:adjustRightInd w:val="0"/>
              <w:snapToGrid w:val="0"/>
              <w:jc w:val="center"/>
              <w:rPr>
                <w:b/>
                <w:szCs w:val="21"/>
              </w:rPr>
            </w:pPr>
            <w:r>
              <w:rPr>
                <w:rFonts w:hAnsi="宋体"/>
                <w:b/>
                <w:szCs w:val="21"/>
              </w:rPr>
              <w:t>大气环境</w:t>
            </w:r>
          </w:p>
        </w:tc>
        <w:tc>
          <w:tcPr>
            <w:tcW w:w="725" w:type="dxa"/>
            <w:tcBorders>
              <w:top w:val="single" w:color="auto" w:sz="4" w:space="0"/>
              <w:bottom w:val="single" w:color="auto" w:sz="4" w:space="0"/>
            </w:tcBorders>
            <w:vAlign w:val="center"/>
          </w:tcPr>
          <w:p>
            <w:pPr>
              <w:adjustRightInd w:val="0"/>
              <w:snapToGrid w:val="0"/>
              <w:jc w:val="center"/>
              <w:rPr>
                <w:rFonts w:hAnsi="宋体"/>
                <w:szCs w:val="21"/>
              </w:rPr>
            </w:pPr>
            <w:r>
              <w:rPr>
                <w:rFonts w:hint="eastAsia" w:hAnsi="宋体"/>
                <w:szCs w:val="21"/>
              </w:rPr>
              <w:t>注塑吹塑等</w:t>
            </w:r>
          </w:p>
        </w:tc>
        <w:tc>
          <w:tcPr>
            <w:tcW w:w="1175" w:type="dxa"/>
            <w:tcBorders>
              <w:top w:val="single" w:color="auto" w:sz="4" w:space="0"/>
              <w:bottom w:val="single" w:color="auto" w:sz="4" w:space="0"/>
            </w:tcBorders>
            <w:vAlign w:val="center"/>
          </w:tcPr>
          <w:p>
            <w:pPr>
              <w:adjustRightInd w:val="0"/>
              <w:snapToGrid w:val="0"/>
              <w:jc w:val="center"/>
              <w:rPr>
                <w:rFonts w:hAnsi="宋体"/>
                <w:szCs w:val="21"/>
              </w:rPr>
            </w:pPr>
            <w:r>
              <w:rPr>
                <w:rFonts w:hint="eastAsia" w:hAnsi="宋体"/>
                <w:szCs w:val="21"/>
              </w:rPr>
              <w:t>非甲烷总烃</w:t>
            </w:r>
          </w:p>
        </w:tc>
        <w:tc>
          <w:tcPr>
            <w:tcW w:w="2200" w:type="dxa"/>
            <w:tcBorders>
              <w:top w:val="single" w:color="auto" w:sz="4" w:space="0"/>
              <w:bottom w:val="single" w:color="auto" w:sz="4" w:space="0"/>
            </w:tcBorders>
            <w:vAlign w:val="center"/>
          </w:tcPr>
          <w:p>
            <w:pPr>
              <w:widowControl/>
              <w:jc w:val="center"/>
              <w:rPr>
                <w:szCs w:val="21"/>
              </w:rPr>
            </w:pPr>
            <w:r>
              <w:rPr>
                <w:rFonts w:hint="eastAsia"/>
                <w:szCs w:val="21"/>
              </w:rPr>
              <w:t>集气罩收集+二级活性炭吸附处理后通过15m高2#排气筒排放</w:t>
            </w:r>
          </w:p>
        </w:tc>
        <w:tc>
          <w:tcPr>
            <w:tcW w:w="3206" w:type="dxa"/>
            <w:vMerge w:val="restart"/>
            <w:tcBorders>
              <w:top w:val="single" w:color="auto" w:sz="4" w:space="0"/>
              <w:right w:val="single" w:color="auto" w:sz="4" w:space="0"/>
            </w:tcBorders>
            <w:vAlign w:val="center"/>
          </w:tcPr>
          <w:p>
            <w:pPr>
              <w:adjustRightInd w:val="0"/>
              <w:snapToGrid w:val="0"/>
              <w:jc w:val="center"/>
            </w:pPr>
            <w:r>
              <w:t>《合成树脂工业污染物排</w:t>
            </w:r>
          </w:p>
          <w:p>
            <w:pPr>
              <w:adjustRightInd w:val="0"/>
              <w:snapToGrid w:val="0"/>
              <w:jc w:val="center"/>
            </w:pPr>
            <w:r>
              <w:t>放标准》（GB31572-2015）</w:t>
            </w:r>
          </w:p>
          <w:p>
            <w:pPr>
              <w:adjustRightInd w:val="0"/>
              <w:snapToGrid w:val="0"/>
              <w:jc w:val="center"/>
              <w:rPr>
                <w:bCs/>
                <w:szCs w:val="21"/>
              </w:rPr>
            </w:pPr>
            <w:r>
              <w:t>中表 5 和表 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vMerge w:val="continue"/>
            <w:tcBorders>
              <w:left w:val="single" w:color="auto" w:sz="4" w:space="0"/>
            </w:tcBorders>
            <w:vAlign w:val="center"/>
          </w:tcPr>
          <w:p>
            <w:pPr>
              <w:adjustRightInd w:val="0"/>
              <w:snapToGrid w:val="0"/>
              <w:jc w:val="center"/>
              <w:rPr>
                <w:b/>
                <w:szCs w:val="21"/>
              </w:rPr>
            </w:pPr>
          </w:p>
        </w:tc>
        <w:tc>
          <w:tcPr>
            <w:tcW w:w="725" w:type="dxa"/>
            <w:tcBorders>
              <w:top w:val="single" w:color="auto" w:sz="4" w:space="0"/>
              <w:bottom w:val="single" w:color="auto" w:sz="4" w:space="0"/>
            </w:tcBorders>
            <w:vAlign w:val="center"/>
          </w:tcPr>
          <w:p>
            <w:pPr>
              <w:adjustRightInd w:val="0"/>
              <w:snapToGrid w:val="0"/>
              <w:jc w:val="center"/>
              <w:rPr>
                <w:szCs w:val="21"/>
              </w:rPr>
            </w:pPr>
            <w:r>
              <w:rPr>
                <w:rFonts w:hint="eastAsia" w:hAnsi="宋体"/>
                <w:szCs w:val="21"/>
              </w:rPr>
              <w:t>破碎</w:t>
            </w:r>
            <w:r>
              <w:rPr>
                <w:rFonts w:hAnsi="宋体"/>
                <w:szCs w:val="21"/>
              </w:rPr>
              <w:t>粉尘</w:t>
            </w:r>
          </w:p>
        </w:tc>
        <w:tc>
          <w:tcPr>
            <w:tcW w:w="1175" w:type="dxa"/>
            <w:tcBorders>
              <w:top w:val="single" w:color="auto" w:sz="4" w:space="0"/>
              <w:bottom w:val="single" w:color="auto" w:sz="4" w:space="0"/>
            </w:tcBorders>
            <w:vAlign w:val="center"/>
          </w:tcPr>
          <w:p>
            <w:pPr>
              <w:adjustRightInd w:val="0"/>
              <w:snapToGrid w:val="0"/>
              <w:jc w:val="center"/>
              <w:rPr>
                <w:szCs w:val="21"/>
              </w:rPr>
            </w:pPr>
            <w:r>
              <w:rPr>
                <w:rFonts w:hAnsi="宋体"/>
                <w:szCs w:val="21"/>
              </w:rPr>
              <w:t>颗粒物</w:t>
            </w:r>
          </w:p>
        </w:tc>
        <w:tc>
          <w:tcPr>
            <w:tcW w:w="2200" w:type="dxa"/>
            <w:tcBorders>
              <w:top w:val="single" w:color="auto" w:sz="4" w:space="0"/>
              <w:bottom w:val="single" w:color="auto" w:sz="4" w:space="0"/>
            </w:tcBorders>
            <w:vAlign w:val="center"/>
          </w:tcPr>
          <w:p>
            <w:pPr>
              <w:widowControl/>
              <w:jc w:val="center"/>
              <w:rPr>
                <w:kern w:val="0"/>
                <w:szCs w:val="21"/>
              </w:rPr>
            </w:pPr>
            <w:r>
              <w:rPr>
                <w:szCs w:val="21"/>
              </w:rPr>
              <w:t>集气罩收集+</w:t>
            </w:r>
            <w:r>
              <w:rPr>
                <w:rFonts w:hint="eastAsia"/>
                <w:szCs w:val="21"/>
              </w:rPr>
              <w:t>布袋除尘器</w:t>
            </w:r>
            <w:r>
              <w:rPr>
                <w:szCs w:val="21"/>
              </w:rPr>
              <w:t>处理后通过15m高</w:t>
            </w:r>
            <w:r>
              <w:rPr>
                <w:rFonts w:hint="eastAsia"/>
                <w:szCs w:val="21"/>
              </w:rPr>
              <w:t>3</w:t>
            </w:r>
            <w:r>
              <w:rPr>
                <w:szCs w:val="21"/>
              </w:rPr>
              <w:t>#排气筒排放</w:t>
            </w:r>
          </w:p>
        </w:tc>
        <w:tc>
          <w:tcPr>
            <w:tcW w:w="3206" w:type="dxa"/>
            <w:vMerge w:val="continue"/>
            <w:tcBorders>
              <w:bottom w:val="single" w:color="auto" w:sz="4" w:space="0"/>
              <w:right w:val="single" w:color="auto" w:sz="4" w:space="0"/>
            </w:tcBorders>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vMerge w:val="continue"/>
            <w:tcBorders>
              <w:left w:val="single" w:color="auto" w:sz="4" w:space="0"/>
              <w:bottom w:val="single" w:color="auto" w:sz="4" w:space="0"/>
            </w:tcBorders>
            <w:vAlign w:val="center"/>
          </w:tcPr>
          <w:p>
            <w:pPr>
              <w:adjustRightInd w:val="0"/>
              <w:snapToGrid w:val="0"/>
              <w:jc w:val="center"/>
              <w:rPr>
                <w:b/>
                <w:szCs w:val="21"/>
              </w:rPr>
            </w:pPr>
          </w:p>
        </w:tc>
        <w:tc>
          <w:tcPr>
            <w:tcW w:w="725" w:type="dxa"/>
            <w:tcBorders>
              <w:top w:val="single" w:color="auto" w:sz="4" w:space="0"/>
              <w:bottom w:val="single" w:color="auto" w:sz="4" w:space="0"/>
            </w:tcBorders>
            <w:vAlign w:val="center"/>
          </w:tcPr>
          <w:p>
            <w:pPr>
              <w:adjustRightInd w:val="0"/>
              <w:snapToGrid w:val="0"/>
              <w:jc w:val="center"/>
              <w:rPr>
                <w:rFonts w:hAnsi="宋体"/>
                <w:szCs w:val="21"/>
              </w:rPr>
            </w:pPr>
            <w:r>
              <w:rPr>
                <w:rFonts w:hint="eastAsia" w:hAnsi="宋体"/>
                <w:szCs w:val="21"/>
              </w:rPr>
              <w:t>食堂</w:t>
            </w:r>
          </w:p>
        </w:tc>
        <w:tc>
          <w:tcPr>
            <w:tcW w:w="1175" w:type="dxa"/>
            <w:tcBorders>
              <w:top w:val="single" w:color="auto" w:sz="4" w:space="0"/>
              <w:bottom w:val="single" w:color="auto" w:sz="4" w:space="0"/>
            </w:tcBorders>
            <w:vAlign w:val="center"/>
          </w:tcPr>
          <w:p>
            <w:pPr>
              <w:adjustRightInd w:val="0"/>
              <w:snapToGrid w:val="0"/>
              <w:jc w:val="center"/>
              <w:rPr>
                <w:rFonts w:hAnsi="宋体"/>
                <w:szCs w:val="21"/>
              </w:rPr>
            </w:pPr>
            <w:r>
              <w:rPr>
                <w:rFonts w:hint="eastAsia" w:hAnsi="宋体"/>
                <w:szCs w:val="21"/>
              </w:rPr>
              <w:t>油烟</w:t>
            </w:r>
          </w:p>
        </w:tc>
        <w:tc>
          <w:tcPr>
            <w:tcW w:w="2200" w:type="dxa"/>
            <w:tcBorders>
              <w:top w:val="single" w:color="auto" w:sz="4" w:space="0"/>
              <w:bottom w:val="single" w:color="auto" w:sz="4" w:space="0"/>
            </w:tcBorders>
            <w:vAlign w:val="center"/>
          </w:tcPr>
          <w:p>
            <w:pPr>
              <w:widowControl/>
              <w:jc w:val="center"/>
              <w:rPr>
                <w:rFonts w:hint="eastAsia" w:eastAsia="宋体"/>
                <w:szCs w:val="21"/>
                <w:lang w:eastAsia="zh-CN"/>
              </w:rPr>
            </w:pPr>
            <w:r>
              <w:rPr>
                <w:rFonts w:hint="eastAsia"/>
                <w:szCs w:val="21"/>
                <w:lang w:eastAsia="zh-CN"/>
              </w:rPr>
              <w:t>利用现有</w:t>
            </w:r>
          </w:p>
        </w:tc>
        <w:tc>
          <w:tcPr>
            <w:tcW w:w="3206" w:type="dxa"/>
            <w:tcBorders>
              <w:top w:val="single" w:color="auto" w:sz="4" w:space="0"/>
              <w:bottom w:val="single" w:color="auto" w:sz="4" w:space="0"/>
              <w:right w:val="single" w:color="auto" w:sz="4" w:space="0"/>
            </w:tcBorders>
            <w:vAlign w:val="center"/>
          </w:tcPr>
          <w:p>
            <w:pPr>
              <w:adjustRightInd w:val="0"/>
              <w:snapToGrid w:val="0"/>
              <w:jc w:val="center"/>
              <w:rPr>
                <w:szCs w:val="21"/>
              </w:rPr>
            </w:pPr>
            <w:r>
              <w:rPr>
                <w:rFonts w:hint="eastAsia"/>
                <w:bCs/>
                <w:szCs w:val="21"/>
              </w:rPr>
              <w:t>《饮食业油烟排放标准》（GB 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tcBorders>
              <w:top w:val="single" w:color="auto" w:sz="4" w:space="0"/>
              <w:left w:val="single" w:color="auto" w:sz="4" w:space="0"/>
              <w:bottom w:val="single" w:color="auto" w:sz="4" w:space="0"/>
            </w:tcBorders>
            <w:vAlign w:val="center"/>
          </w:tcPr>
          <w:p>
            <w:pPr>
              <w:adjustRightInd w:val="0"/>
              <w:snapToGrid w:val="0"/>
              <w:jc w:val="center"/>
              <w:rPr>
                <w:b/>
                <w:szCs w:val="21"/>
              </w:rPr>
            </w:pPr>
            <w:r>
              <w:rPr>
                <w:rFonts w:hAnsi="宋体"/>
                <w:b/>
                <w:szCs w:val="21"/>
              </w:rPr>
              <w:t>地表水环境</w:t>
            </w:r>
          </w:p>
        </w:tc>
        <w:tc>
          <w:tcPr>
            <w:tcW w:w="725" w:type="dxa"/>
            <w:tcBorders>
              <w:top w:val="single" w:color="auto" w:sz="4" w:space="0"/>
              <w:bottom w:val="single" w:color="auto" w:sz="4" w:space="0"/>
            </w:tcBorders>
            <w:vAlign w:val="center"/>
          </w:tcPr>
          <w:p>
            <w:pPr>
              <w:adjustRightInd w:val="0"/>
              <w:snapToGrid w:val="0"/>
              <w:jc w:val="center"/>
              <w:rPr>
                <w:szCs w:val="21"/>
              </w:rPr>
            </w:pPr>
            <w:r>
              <w:rPr>
                <w:rFonts w:hint="eastAsia"/>
                <w:szCs w:val="21"/>
              </w:rPr>
              <w:t>综合废水</w:t>
            </w:r>
          </w:p>
        </w:tc>
        <w:tc>
          <w:tcPr>
            <w:tcW w:w="1175" w:type="dxa"/>
            <w:tcBorders>
              <w:top w:val="single" w:color="auto" w:sz="4" w:space="0"/>
              <w:bottom w:val="single" w:color="auto" w:sz="4" w:space="0"/>
            </w:tcBorders>
            <w:vAlign w:val="center"/>
          </w:tcPr>
          <w:p>
            <w:pPr>
              <w:adjustRightInd w:val="0"/>
              <w:snapToGrid w:val="0"/>
              <w:jc w:val="center"/>
              <w:rPr>
                <w:szCs w:val="21"/>
              </w:rPr>
            </w:pPr>
            <w:r>
              <w:rPr>
                <w:rFonts w:hint="eastAsia"/>
                <w:szCs w:val="21"/>
              </w:rPr>
              <w:t>COD、BOD</w:t>
            </w:r>
            <w:r>
              <w:rPr>
                <w:rFonts w:hint="eastAsia"/>
                <w:szCs w:val="21"/>
                <w:vertAlign w:val="subscript"/>
              </w:rPr>
              <w:t>5</w:t>
            </w:r>
            <w:r>
              <w:rPr>
                <w:rFonts w:hint="eastAsia"/>
                <w:szCs w:val="21"/>
              </w:rPr>
              <w:t>、SS、NH</w:t>
            </w:r>
            <w:r>
              <w:rPr>
                <w:rFonts w:hint="eastAsia"/>
                <w:szCs w:val="21"/>
                <w:vertAlign w:val="subscript"/>
              </w:rPr>
              <w:t>3</w:t>
            </w:r>
            <w:r>
              <w:rPr>
                <w:rFonts w:hint="eastAsia"/>
                <w:szCs w:val="21"/>
              </w:rPr>
              <w:t>-N、TP、动植物油</w:t>
            </w:r>
          </w:p>
        </w:tc>
        <w:tc>
          <w:tcPr>
            <w:tcW w:w="2200" w:type="dxa"/>
            <w:tcBorders>
              <w:top w:val="single" w:color="auto" w:sz="4" w:space="0"/>
              <w:bottom w:val="single" w:color="auto" w:sz="4" w:space="0"/>
            </w:tcBorders>
            <w:vAlign w:val="center"/>
          </w:tcPr>
          <w:p>
            <w:pPr>
              <w:adjustRightInd w:val="0"/>
              <w:snapToGrid w:val="0"/>
              <w:jc w:val="center"/>
              <w:rPr>
                <w:rFonts w:hint="eastAsia" w:eastAsia="宋体"/>
                <w:szCs w:val="21"/>
                <w:lang w:eastAsia="zh-CN"/>
              </w:rPr>
            </w:pPr>
            <w:r>
              <w:rPr>
                <w:rFonts w:hint="eastAsia"/>
                <w:kern w:val="0"/>
                <w:szCs w:val="21"/>
                <w:lang w:eastAsia="zh-CN"/>
              </w:rPr>
              <w:t>利用现有</w:t>
            </w:r>
          </w:p>
        </w:tc>
        <w:tc>
          <w:tcPr>
            <w:tcW w:w="3206" w:type="dxa"/>
            <w:tcBorders>
              <w:top w:val="single" w:color="auto" w:sz="4" w:space="0"/>
              <w:bottom w:val="single" w:color="auto" w:sz="4" w:space="0"/>
              <w:right w:val="single" w:color="auto" w:sz="4" w:space="0"/>
            </w:tcBorders>
            <w:vAlign w:val="center"/>
          </w:tcPr>
          <w:p>
            <w:pPr>
              <w:adjustRightInd w:val="0"/>
              <w:snapToGrid w:val="0"/>
              <w:jc w:val="center"/>
              <w:rPr>
                <w:szCs w:val="21"/>
              </w:rPr>
            </w:pPr>
            <w:r>
              <w:rPr>
                <w:kern w:val="0"/>
                <w:szCs w:val="21"/>
              </w:rPr>
              <w:t>废水排放执行《废水排放综合标准》（GB8978-1996）表 4 中三级排放标准，其中氨氮参照《污水排放城市下水道水质标准》（GB/T31962-2015）中 B 级接管标准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tcBorders>
              <w:top w:val="single" w:color="auto" w:sz="4" w:space="0"/>
              <w:left w:val="single" w:color="auto" w:sz="4" w:space="0"/>
              <w:bottom w:val="single" w:color="auto" w:sz="4" w:space="0"/>
            </w:tcBorders>
            <w:vAlign w:val="center"/>
          </w:tcPr>
          <w:p>
            <w:pPr>
              <w:adjustRightInd w:val="0"/>
              <w:snapToGrid w:val="0"/>
              <w:jc w:val="center"/>
              <w:rPr>
                <w:b/>
                <w:szCs w:val="21"/>
              </w:rPr>
            </w:pPr>
            <w:r>
              <w:rPr>
                <w:rFonts w:hAnsi="宋体"/>
                <w:b/>
                <w:szCs w:val="21"/>
              </w:rPr>
              <w:t>声环境</w:t>
            </w:r>
          </w:p>
        </w:tc>
        <w:tc>
          <w:tcPr>
            <w:tcW w:w="725" w:type="dxa"/>
            <w:tcBorders>
              <w:top w:val="single" w:color="auto" w:sz="4" w:space="0"/>
              <w:bottom w:val="single" w:color="auto" w:sz="4" w:space="0"/>
            </w:tcBorders>
            <w:vAlign w:val="center"/>
          </w:tcPr>
          <w:p>
            <w:pPr>
              <w:adjustRightInd w:val="0"/>
              <w:snapToGrid w:val="0"/>
              <w:jc w:val="center"/>
              <w:rPr>
                <w:szCs w:val="21"/>
              </w:rPr>
            </w:pPr>
            <w:r>
              <w:rPr>
                <w:kern w:val="0"/>
                <w:szCs w:val="21"/>
              </w:rPr>
              <w:t>生产设备</w:t>
            </w:r>
          </w:p>
        </w:tc>
        <w:tc>
          <w:tcPr>
            <w:tcW w:w="1175" w:type="dxa"/>
            <w:tcBorders>
              <w:top w:val="single" w:color="auto" w:sz="4" w:space="0"/>
              <w:bottom w:val="single" w:color="auto" w:sz="4" w:space="0"/>
            </w:tcBorders>
            <w:vAlign w:val="center"/>
          </w:tcPr>
          <w:p>
            <w:pPr>
              <w:adjustRightInd w:val="0"/>
              <w:snapToGrid w:val="0"/>
              <w:jc w:val="center"/>
              <w:rPr>
                <w:szCs w:val="21"/>
              </w:rPr>
            </w:pPr>
            <w:r>
              <w:rPr>
                <w:rFonts w:hint="eastAsia"/>
                <w:szCs w:val="21"/>
              </w:rPr>
              <w:t>噪声</w:t>
            </w:r>
          </w:p>
        </w:tc>
        <w:tc>
          <w:tcPr>
            <w:tcW w:w="2200" w:type="dxa"/>
            <w:tcBorders>
              <w:top w:val="single" w:color="auto" w:sz="4" w:space="0"/>
              <w:bottom w:val="single" w:color="auto" w:sz="4" w:space="0"/>
            </w:tcBorders>
            <w:vAlign w:val="center"/>
          </w:tcPr>
          <w:p>
            <w:pPr>
              <w:adjustRightInd w:val="0"/>
              <w:snapToGrid w:val="0"/>
              <w:jc w:val="center"/>
              <w:rPr>
                <w:szCs w:val="21"/>
              </w:rPr>
            </w:pPr>
            <w:r>
              <w:rPr>
                <w:kern w:val="0"/>
                <w:szCs w:val="21"/>
              </w:rPr>
              <w:t>配套减震、减噪措施</w:t>
            </w:r>
          </w:p>
        </w:tc>
        <w:tc>
          <w:tcPr>
            <w:tcW w:w="3206" w:type="dxa"/>
            <w:tcBorders>
              <w:top w:val="single" w:color="auto" w:sz="4" w:space="0"/>
              <w:bottom w:val="single" w:color="auto" w:sz="4" w:space="0"/>
              <w:right w:val="single" w:color="auto" w:sz="4" w:space="0"/>
            </w:tcBorders>
            <w:vAlign w:val="center"/>
          </w:tcPr>
          <w:p>
            <w:pPr>
              <w:adjustRightInd w:val="0"/>
              <w:snapToGrid w:val="0"/>
              <w:jc w:val="center"/>
              <w:rPr>
                <w:szCs w:val="21"/>
              </w:rPr>
            </w:pPr>
            <w:r>
              <w:rPr>
                <w:kern w:val="0"/>
                <w:szCs w:val="21"/>
              </w:rPr>
              <w:t>项目厂界噪声排放达到《工业企业厂界环境噪声排放标准》（GB12348-2008） 3 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Ansi="宋体"/>
                <w:b/>
                <w:szCs w:val="21"/>
              </w:rPr>
              <w:t>固体废物</w:t>
            </w:r>
          </w:p>
        </w:tc>
        <w:tc>
          <w:tcPr>
            <w:tcW w:w="73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pPr>
            <w:r>
              <w:rPr>
                <w:rFonts w:hAnsi="宋体"/>
              </w:rPr>
              <w:t>一般固废需满足《一般工业固体废物贮存、处理场污染控制标准》（</w:t>
            </w:r>
            <w:r>
              <w:t>GB18599-20</w:t>
            </w:r>
            <w:r>
              <w:rPr>
                <w:rFonts w:hint="eastAsia"/>
                <w:lang w:val="en-US" w:eastAsia="zh-CN"/>
              </w:rPr>
              <w:t>20</w:t>
            </w:r>
            <w:r>
              <w:rPr>
                <w:rFonts w:hAnsi="宋体"/>
              </w:rPr>
              <w:t>）及其</w:t>
            </w:r>
            <w:bookmarkStart w:id="6" w:name="_GoBack"/>
            <w:bookmarkEnd w:id="6"/>
            <w:r>
              <w:rPr>
                <w:rFonts w:hAnsi="宋体"/>
              </w:rPr>
              <w:t>修改单中有关规定。暂存处应具有防风、防雨、防渗漏功能，并粘贴标识牌，建设单位需建立档案制度，将一般工业固体废物的种类和数量记录在案。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Ansi="宋体"/>
                <w:b/>
                <w:szCs w:val="21"/>
              </w:rPr>
              <w:t>土壤及地下水</w:t>
            </w:r>
          </w:p>
          <w:p>
            <w:pPr>
              <w:adjustRightInd w:val="0"/>
              <w:snapToGrid w:val="0"/>
              <w:jc w:val="center"/>
              <w:rPr>
                <w:b/>
                <w:szCs w:val="21"/>
              </w:rPr>
            </w:pPr>
            <w:r>
              <w:rPr>
                <w:rFonts w:hAnsi="宋体"/>
                <w:b/>
                <w:szCs w:val="21"/>
              </w:rPr>
              <w:t>污染防治措施</w:t>
            </w:r>
          </w:p>
        </w:tc>
        <w:tc>
          <w:tcPr>
            <w:tcW w:w="7306" w:type="dxa"/>
            <w:gridSpan w:val="4"/>
            <w:tcBorders>
              <w:top w:val="single" w:color="auto" w:sz="4" w:space="0"/>
              <w:left w:val="single" w:color="auto" w:sz="4" w:space="0"/>
              <w:bottom w:val="single" w:color="auto" w:sz="4" w:space="0"/>
              <w:right w:val="single" w:color="auto" w:sz="4" w:space="0"/>
            </w:tcBorders>
            <w:vAlign w:val="center"/>
          </w:tcPr>
          <w:p>
            <w:pPr>
              <w:snapToGrid w:val="0"/>
              <w:ind w:firstLine="420" w:firstLineChars="200"/>
              <w:jc w:val="left"/>
              <w:rPr>
                <w:szCs w:val="21"/>
              </w:rPr>
            </w:pPr>
            <w:r>
              <w:rPr>
                <w:szCs w:val="21"/>
              </w:rPr>
              <w:t>1</w:t>
            </w:r>
            <w:r>
              <w:rPr>
                <w:rFonts w:hAnsi="宋体"/>
                <w:szCs w:val="21"/>
              </w:rPr>
              <w:t>）针对不同的污染防治区，建立场地区地下水环境监控体系，包括建立地下水污染监控制度和环境管理体系、制定监测计划、配备先进的检测仪器和设备，以便及时发现问题，及时采取措施；</w:t>
            </w:r>
          </w:p>
          <w:p>
            <w:pPr>
              <w:snapToGrid w:val="0"/>
              <w:ind w:firstLine="420" w:firstLineChars="200"/>
              <w:jc w:val="left"/>
              <w:rPr>
                <w:szCs w:val="21"/>
              </w:rPr>
            </w:pPr>
            <w:r>
              <w:rPr>
                <w:szCs w:val="21"/>
              </w:rPr>
              <w:t>2</w:t>
            </w:r>
            <w:r>
              <w:rPr>
                <w:rFonts w:hAnsi="宋体"/>
                <w:szCs w:val="21"/>
              </w:rPr>
              <w:t>）应按照相应要求做好厂区内防渗工程，同时定期检查污水处理设施构筑物池体、污水管道、车间地面的情况，若墙体或管道出现裂隙等问题，应立即停产抢修；</w:t>
            </w:r>
          </w:p>
          <w:p>
            <w:pPr>
              <w:adjustRightInd w:val="0"/>
              <w:snapToGrid w:val="0"/>
              <w:ind w:firstLine="200"/>
              <w:jc w:val="left"/>
              <w:rPr>
                <w:szCs w:val="21"/>
              </w:rPr>
            </w:pPr>
            <w:r>
              <w:rPr>
                <w:szCs w:val="21"/>
              </w:rPr>
              <w:t>3</w:t>
            </w:r>
            <w:r>
              <w:rPr>
                <w:rFonts w:hAnsi="宋体"/>
                <w:szCs w:val="21"/>
              </w:rPr>
              <w:t>）厂区内管道，特别是污水管道应尽量采取地面明沟架空敷设，以避免由于埋地管道泄漏而造成的地下水污染，必要地下管道必须采取两层管，内层采用耐压塑料管，外层再加一层水泥管道；管道内衬防渗膜，须具有耐酸、耐碱和经久耐用的特性，可有效防止渗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zCs w:val="21"/>
              </w:rPr>
            </w:pPr>
            <w:r>
              <w:rPr>
                <w:rFonts w:hAnsi="宋体"/>
                <w:b/>
                <w:szCs w:val="21"/>
              </w:rPr>
              <w:t>生态保护措施</w:t>
            </w:r>
          </w:p>
        </w:tc>
        <w:tc>
          <w:tcPr>
            <w:tcW w:w="73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szCs w:val="21"/>
              </w:rPr>
            </w:pPr>
            <w:r>
              <w:rPr>
                <w:szCs w:val="21"/>
              </w:rPr>
              <w:t>本项目位于</w:t>
            </w:r>
            <w:r>
              <w:rPr>
                <w:rFonts w:hint="eastAsia" w:hAnsi="宋体"/>
                <w:szCs w:val="21"/>
              </w:rPr>
              <w:t>滁州市苏滁产业园常州南路611号</w:t>
            </w:r>
            <w:r>
              <w:rPr>
                <w:szCs w:val="21"/>
              </w:rPr>
              <w:t>。项目周边为道路、企业等，无大面积的自然植被群落及珍稀动植物资源。项目实施后，随着人口的增加和生产的正常运行，水和能源的消耗量都将增加，与此同时项目产生的废水、固废也将增加。若处理不当，则可能会对邻近区域的环境造成污染。因此在建设过程中，一定要按生态规律要求，协调处理好项目建设和生态环境保护之间的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pacing w:val="-8"/>
                <w:szCs w:val="21"/>
              </w:rPr>
            </w:pPr>
            <w:r>
              <w:rPr>
                <w:rFonts w:hAnsi="宋体"/>
                <w:b/>
                <w:spacing w:val="-8"/>
                <w:szCs w:val="21"/>
              </w:rPr>
              <w:t>环境风险</w:t>
            </w:r>
          </w:p>
          <w:p>
            <w:pPr>
              <w:adjustRightInd w:val="0"/>
              <w:snapToGrid w:val="0"/>
              <w:jc w:val="center"/>
              <w:rPr>
                <w:b/>
                <w:spacing w:val="-8"/>
                <w:szCs w:val="21"/>
              </w:rPr>
            </w:pPr>
            <w:r>
              <w:rPr>
                <w:rFonts w:hAnsi="宋体"/>
                <w:b/>
                <w:spacing w:val="-8"/>
                <w:szCs w:val="21"/>
              </w:rPr>
              <w:t>防范措施</w:t>
            </w:r>
          </w:p>
        </w:tc>
        <w:tc>
          <w:tcPr>
            <w:tcW w:w="73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Cs w:val="21"/>
              </w:rPr>
            </w:pPr>
            <w:r>
              <w:rPr>
                <w:rFonts w:hint="eastAsia"/>
                <w:szCs w:val="21"/>
              </w:rPr>
              <w:t>本项目无风险物质。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spacing w:val="-8"/>
                <w:szCs w:val="21"/>
              </w:rPr>
            </w:pPr>
            <w:r>
              <w:rPr>
                <w:rFonts w:hAnsi="宋体"/>
                <w:b/>
                <w:spacing w:val="-8"/>
                <w:szCs w:val="21"/>
              </w:rPr>
              <w:t>其他环境</w:t>
            </w:r>
          </w:p>
          <w:p>
            <w:pPr>
              <w:adjustRightInd w:val="0"/>
              <w:snapToGrid w:val="0"/>
              <w:jc w:val="center"/>
              <w:rPr>
                <w:b/>
                <w:spacing w:val="-8"/>
                <w:szCs w:val="21"/>
              </w:rPr>
            </w:pPr>
            <w:r>
              <w:rPr>
                <w:rFonts w:hAnsi="宋体"/>
                <w:b/>
                <w:spacing w:val="-8"/>
                <w:szCs w:val="21"/>
              </w:rPr>
              <w:t>管理要求</w:t>
            </w:r>
          </w:p>
        </w:tc>
        <w:tc>
          <w:tcPr>
            <w:tcW w:w="7306"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w:t>
            </w:r>
          </w:p>
        </w:tc>
      </w:tr>
    </w:tbl>
    <w:p>
      <w:pPr>
        <w:pStyle w:val="19"/>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0" w:firstLineChars="200"/>
              <w:rPr>
                <w:bCs/>
                <w:sz w:val="24"/>
              </w:rPr>
            </w:pPr>
          </w:p>
          <w:p>
            <w:pPr>
              <w:spacing w:line="360" w:lineRule="auto"/>
              <w:ind w:firstLine="480" w:firstLineChars="200"/>
              <w:rPr>
                <w:bCs/>
                <w:sz w:val="24"/>
              </w:rPr>
            </w:pPr>
            <w:r>
              <w:rPr>
                <w:rFonts w:hint="eastAsia"/>
                <w:bCs/>
                <w:sz w:val="24"/>
              </w:rPr>
              <w:t>建设项目符合国家和地方的产业政策要求，用地性质符合总体规划；排污总量在区域内平衡；经采取评价提出的各项污染防治措施后，污染物可达标排放，总体上对评价区域环境影响较小，不会造成区域环境功能的改变；项目的建设得到当地公众的支持，无人反对。从环境影响评价角度，在采取评价提出的各项环保措施的基础上，项目的建设运营是可行的。</w:t>
            </w:r>
          </w:p>
          <w:p>
            <w:pPr>
              <w:spacing w:line="360" w:lineRule="auto"/>
              <w:ind w:firstLine="480" w:firstLineChars="200"/>
              <w:rPr>
                <w:rFonts w:ascii="宋体" w:cs="宋体"/>
                <w:sz w:val="24"/>
              </w:rPr>
            </w:pPr>
          </w:p>
        </w:tc>
      </w:tr>
    </w:tbl>
    <w:p>
      <w:pPr>
        <w:rPr>
          <w:rFonts w:ascii="宋体"/>
        </w:rPr>
        <w:sectPr>
          <w:pgSz w:w="11906" w:h="16838"/>
          <w:pgMar w:top="1701" w:right="1531" w:bottom="1701" w:left="1531" w:header="851" w:footer="851" w:gutter="0"/>
          <w:cols w:space="720" w:num="1"/>
          <w:docGrid w:linePitch="312" w:charSpace="0"/>
        </w:sectPr>
      </w:pPr>
    </w:p>
    <w:tbl>
      <w:tblPr>
        <w:tblStyle w:val="22"/>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2605" w:hRule="atLeast"/>
          <w:jc w:val="center"/>
        </w:trPr>
        <w:tc>
          <w:tcPr>
            <w:tcW w:w="9354" w:type="dxa"/>
            <w:tcBorders>
              <w:top w:val="single" w:color="auto" w:sz="6" w:space="0"/>
              <w:bottom w:val="single" w:color="auto" w:sz="12" w:space="0"/>
            </w:tcBorders>
          </w:tcPr>
          <w:p>
            <w:pPr>
              <w:jc w:val="center"/>
              <w:rPr>
                <w:b/>
                <w:sz w:val="28"/>
                <w:szCs w:val="28"/>
              </w:rPr>
            </w:pPr>
            <w:r>
              <w:rPr>
                <w:b/>
                <w:sz w:val="28"/>
                <w:szCs w:val="28"/>
              </w:rPr>
              <w:t>注   释</w:t>
            </w:r>
          </w:p>
          <w:p>
            <w:pPr>
              <w:spacing w:before="163" w:after="163"/>
              <w:ind w:firstLine="480" w:firstLineChars="200"/>
              <w:rPr>
                <w:kern w:val="0"/>
                <w:sz w:val="24"/>
              </w:rPr>
            </w:pPr>
            <w:r>
              <w:rPr>
                <w:kern w:val="0"/>
                <w:sz w:val="24"/>
              </w:rPr>
              <w:t>一、本报告表应附以下附件、附图：</w:t>
            </w:r>
          </w:p>
          <w:p>
            <w:pPr>
              <w:spacing w:line="276" w:lineRule="auto"/>
              <w:ind w:left="564"/>
            </w:pPr>
            <w:r>
              <w:t>附件1  备案</w:t>
            </w:r>
            <w:r>
              <w:rPr>
                <w:rFonts w:hint="eastAsia"/>
              </w:rPr>
              <w:t>表</w:t>
            </w:r>
          </w:p>
          <w:p>
            <w:pPr>
              <w:spacing w:line="276" w:lineRule="auto"/>
              <w:ind w:left="564"/>
            </w:pPr>
            <w:r>
              <w:t>附件2  委托书</w:t>
            </w:r>
            <w:r>
              <w:rPr>
                <w:rFonts w:hint="eastAsia"/>
              </w:rPr>
              <w:t>、</w:t>
            </w:r>
            <w:r>
              <w:t>公示说明</w:t>
            </w:r>
          </w:p>
          <w:p>
            <w:pPr>
              <w:spacing w:line="276" w:lineRule="auto"/>
              <w:ind w:left="564"/>
            </w:pPr>
            <w:r>
              <w:t xml:space="preserve">附件3 </w:t>
            </w:r>
            <w:r>
              <w:rPr>
                <w:rFonts w:hint="eastAsia"/>
              </w:rPr>
              <w:t xml:space="preserve"> </w:t>
            </w:r>
            <w:r>
              <w:t>声明确认单</w:t>
            </w:r>
            <w:r>
              <w:rPr>
                <w:rFonts w:hint="eastAsia"/>
              </w:rPr>
              <w:t>、危废承诺书</w:t>
            </w:r>
          </w:p>
          <w:p>
            <w:pPr>
              <w:spacing w:line="276" w:lineRule="auto"/>
              <w:ind w:left="564"/>
            </w:pPr>
            <w:r>
              <w:t>附件4  排放容量核定表</w:t>
            </w:r>
          </w:p>
          <w:p>
            <w:pPr>
              <w:tabs>
                <w:tab w:val="left" w:pos="5805"/>
              </w:tabs>
              <w:spacing w:line="276" w:lineRule="auto"/>
              <w:ind w:left="564"/>
            </w:pPr>
            <w:r>
              <w:t>附件5  环评执行标准确认函</w:t>
            </w:r>
            <w:r>
              <w:rPr>
                <w:rFonts w:hint="eastAsia"/>
              </w:rPr>
              <w:tab/>
            </w:r>
          </w:p>
          <w:p>
            <w:pPr>
              <w:spacing w:line="276" w:lineRule="auto"/>
              <w:ind w:left="564"/>
            </w:pPr>
            <w:r>
              <w:t xml:space="preserve">附件6  </w:t>
            </w:r>
            <w:r>
              <w:rPr>
                <w:rFonts w:hint="eastAsia"/>
              </w:rPr>
              <w:t>大气自查表</w:t>
            </w:r>
          </w:p>
          <w:p>
            <w:pPr>
              <w:spacing w:line="276" w:lineRule="auto"/>
              <w:ind w:left="564"/>
            </w:pPr>
            <w:r>
              <w:t xml:space="preserve">附件7  </w:t>
            </w:r>
            <w:r>
              <w:rPr>
                <w:rFonts w:hint="eastAsia"/>
              </w:rPr>
              <w:t>地表水自查表</w:t>
            </w:r>
          </w:p>
          <w:p>
            <w:pPr>
              <w:spacing w:line="276" w:lineRule="auto"/>
              <w:ind w:left="564"/>
            </w:pPr>
            <w:r>
              <w:t xml:space="preserve">附件8 </w:t>
            </w:r>
            <w:r>
              <w:rPr>
                <w:rFonts w:hint="eastAsia"/>
              </w:rPr>
              <w:t xml:space="preserve"> 验收意见</w:t>
            </w:r>
          </w:p>
          <w:p>
            <w:pPr>
              <w:spacing w:line="276" w:lineRule="auto"/>
              <w:ind w:left="564"/>
            </w:pPr>
            <w:r>
              <w:t xml:space="preserve">附件9  </w:t>
            </w:r>
            <w:r>
              <w:rPr>
                <w:rFonts w:hint="eastAsia"/>
              </w:rPr>
              <w:t>房产证</w:t>
            </w:r>
          </w:p>
          <w:p>
            <w:pPr>
              <w:spacing w:line="276" w:lineRule="auto"/>
              <w:ind w:left="564"/>
            </w:pPr>
            <w:r>
              <w:t>附件</w:t>
            </w:r>
            <w:r>
              <w:rPr>
                <w:rFonts w:hint="eastAsia"/>
              </w:rPr>
              <w:t>10</w:t>
            </w:r>
            <w:r>
              <w:t xml:space="preserve"> </w:t>
            </w:r>
            <w:r>
              <w:rPr>
                <w:rFonts w:hint="eastAsia"/>
              </w:rPr>
              <w:t xml:space="preserve"> 原环评批复</w:t>
            </w:r>
          </w:p>
          <w:p>
            <w:pPr>
              <w:spacing w:line="276" w:lineRule="auto"/>
              <w:ind w:left="564"/>
            </w:pPr>
            <w:r>
              <w:t>附件</w:t>
            </w:r>
            <w:r>
              <w:rPr>
                <w:rFonts w:hint="eastAsia"/>
              </w:rPr>
              <w:t>11  检测报告</w:t>
            </w:r>
          </w:p>
          <w:p>
            <w:pPr>
              <w:spacing w:line="276" w:lineRule="auto"/>
              <w:ind w:left="564"/>
            </w:pPr>
            <w:r>
              <w:rPr>
                <w:rFonts w:hint="eastAsia"/>
              </w:rPr>
              <w:t>附件12  园区规划审查意见</w:t>
            </w:r>
          </w:p>
          <w:p>
            <w:pPr>
              <w:spacing w:line="276" w:lineRule="auto"/>
              <w:ind w:left="564"/>
            </w:pPr>
            <w:r>
              <w:rPr>
                <w:rFonts w:hint="eastAsia"/>
              </w:rPr>
              <w:t>附件13  排污许可联动附件附图</w:t>
            </w:r>
          </w:p>
          <w:p>
            <w:pPr>
              <w:spacing w:line="276" w:lineRule="auto"/>
              <w:ind w:left="564"/>
            </w:pPr>
          </w:p>
          <w:p>
            <w:pPr>
              <w:spacing w:line="276" w:lineRule="auto"/>
              <w:ind w:left="564"/>
            </w:pPr>
            <w:r>
              <w:t>附图1  项目地理位置图</w:t>
            </w:r>
          </w:p>
          <w:p>
            <w:pPr>
              <w:spacing w:line="276" w:lineRule="auto"/>
              <w:ind w:left="564"/>
            </w:pPr>
            <w:r>
              <w:t>附图2</w:t>
            </w:r>
            <w:r>
              <w:rPr>
                <w:rFonts w:hint="eastAsia"/>
              </w:rPr>
              <w:t>-1</w:t>
            </w:r>
            <w:r>
              <w:t xml:space="preserve">  项目平面布置图</w:t>
            </w:r>
            <w:r>
              <w:rPr>
                <w:rFonts w:hint="eastAsia"/>
              </w:rPr>
              <w:t>及分区防渗图</w:t>
            </w:r>
          </w:p>
          <w:p>
            <w:pPr>
              <w:spacing w:line="276" w:lineRule="auto"/>
              <w:ind w:left="564"/>
            </w:pPr>
            <w:r>
              <w:rPr>
                <w:rFonts w:hint="eastAsia"/>
              </w:rPr>
              <w:t>附图2-2  厂区布置图及雨污管网图</w:t>
            </w:r>
          </w:p>
          <w:p>
            <w:pPr>
              <w:spacing w:line="276" w:lineRule="auto"/>
              <w:ind w:left="564"/>
            </w:pPr>
            <w:r>
              <w:t>附图3  项目周边环境概况及环境防护距离包络图</w:t>
            </w:r>
          </w:p>
          <w:p>
            <w:pPr>
              <w:spacing w:line="276" w:lineRule="auto"/>
              <w:ind w:left="564"/>
            </w:pPr>
            <w:r>
              <w:rPr>
                <w:rFonts w:hint="eastAsia"/>
              </w:rPr>
              <w:t>附图4  苏滁现代产业园产业布局规划图</w:t>
            </w:r>
          </w:p>
          <w:p>
            <w:pPr>
              <w:spacing w:line="276" w:lineRule="auto"/>
              <w:ind w:left="564"/>
            </w:pPr>
            <w:r>
              <w:t>附图5</w:t>
            </w:r>
            <w:r>
              <w:rPr>
                <w:rFonts w:hint="eastAsia"/>
              </w:rPr>
              <w:t xml:space="preserve">  </w:t>
            </w:r>
            <w:r>
              <w:t>滁州市生态保护红线区域分布图</w:t>
            </w:r>
          </w:p>
          <w:p>
            <w:pPr>
              <w:spacing w:line="276" w:lineRule="auto"/>
              <w:ind w:left="564"/>
            </w:pPr>
            <w:r>
              <w:t>附图</w:t>
            </w:r>
            <w:r>
              <w:rPr>
                <w:rFonts w:hint="eastAsia"/>
              </w:rPr>
              <w:t>6</w:t>
            </w:r>
            <w:r>
              <w:t xml:space="preserve">  大气评价范围及环境保护目标</w:t>
            </w:r>
          </w:p>
          <w:p>
            <w:pPr>
              <w:spacing w:line="276" w:lineRule="auto"/>
              <w:ind w:left="564"/>
            </w:pPr>
            <w:r>
              <w:t>附图</w:t>
            </w:r>
            <w:r>
              <w:rPr>
                <w:rFonts w:hint="eastAsia"/>
              </w:rPr>
              <w:t>7  污水处理厂收水范围图</w:t>
            </w:r>
          </w:p>
          <w:p>
            <w:pPr>
              <w:spacing w:line="276" w:lineRule="auto"/>
              <w:ind w:left="564"/>
            </w:pPr>
            <w:r>
              <w:t>附图</w:t>
            </w:r>
            <w:r>
              <w:rPr>
                <w:rFonts w:hint="eastAsia"/>
              </w:rPr>
              <w:t>8  苏滁现代产业园总体规划图</w:t>
            </w:r>
          </w:p>
          <w:p>
            <w:pPr>
              <w:spacing w:line="276" w:lineRule="auto"/>
              <w:ind w:left="564"/>
            </w:pPr>
            <w:r>
              <w:t>附图</w:t>
            </w:r>
            <w:r>
              <w:rPr>
                <w:rFonts w:hint="eastAsia"/>
              </w:rPr>
              <w:t>9  地表水保护目标图</w:t>
            </w:r>
          </w:p>
          <w:p>
            <w:pPr>
              <w:spacing w:line="360" w:lineRule="auto"/>
              <w:ind w:firstLine="480" w:firstLineChars="200"/>
              <w:rPr>
                <w:kern w:val="0"/>
                <w:sz w:val="24"/>
              </w:rPr>
            </w:pPr>
            <w:r>
              <w:rPr>
                <w:kern w:val="0"/>
                <w:sz w:val="24"/>
              </w:rPr>
              <w:t>二、如果本报告不能说明项目产生的污染及对环境造成的影响，应进行专项评价。根据建设项目的特点和当地环境特征，应选下列1-2项进行专项评价。</w:t>
            </w:r>
          </w:p>
          <w:p>
            <w:pPr>
              <w:spacing w:line="360" w:lineRule="auto"/>
              <w:ind w:firstLine="420" w:firstLineChars="200"/>
              <w:rPr>
                <w:kern w:val="0"/>
                <w:szCs w:val="21"/>
              </w:rPr>
            </w:pPr>
            <w:r>
              <w:rPr>
                <w:kern w:val="0"/>
                <w:szCs w:val="21"/>
              </w:rPr>
              <w:t>1.大气环境影响专项评价</w:t>
            </w:r>
          </w:p>
          <w:p>
            <w:pPr>
              <w:spacing w:line="360" w:lineRule="auto"/>
              <w:ind w:firstLine="420" w:firstLineChars="200"/>
              <w:rPr>
                <w:kern w:val="0"/>
                <w:szCs w:val="21"/>
              </w:rPr>
            </w:pPr>
            <w:r>
              <w:rPr>
                <w:kern w:val="0"/>
                <w:szCs w:val="21"/>
              </w:rPr>
              <w:t>2.水环境影响专项评价(包括地表水和地下水)</w:t>
            </w:r>
          </w:p>
          <w:p>
            <w:pPr>
              <w:spacing w:line="360" w:lineRule="auto"/>
              <w:ind w:firstLine="420" w:firstLineChars="200"/>
              <w:rPr>
                <w:kern w:val="0"/>
                <w:szCs w:val="21"/>
              </w:rPr>
            </w:pPr>
            <w:r>
              <w:rPr>
                <w:kern w:val="0"/>
                <w:szCs w:val="21"/>
              </w:rPr>
              <w:t>3.生态环境影响专项评价</w:t>
            </w:r>
          </w:p>
          <w:p>
            <w:pPr>
              <w:spacing w:line="360" w:lineRule="auto"/>
              <w:ind w:firstLine="420" w:firstLineChars="200"/>
              <w:rPr>
                <w:kern w:val="0"/>
                <w:szCs w:val="21"/>
              </w:rPr>
            </w:pPr>
            <w:r>
              <w:rPr>
                <w:kern w:val="0"/>
                <w:szCs w:val="21"/>
              </w:rPr>
              <w:t>4.声影响专项评价</w:t>
            </w:r>
          </w:p>
          <w:p>
            <w:pPr>
              <w:spacing w:line="360" w:lineRule="auto"/>
              <w:ind w:firstLine="420" w:firstLineChars="200"/>
              <w:rPr>
                <w:kern w:val="0"/>
                <w:szCs w:val="21"/>
              </w:rPr>
            </w:pPr>
            <w:r>
              <w:rPr>
                <w:kern w:val="0"/>
                <w:szCs w:val="21"/>
              </w:rPr>
              <w:t>5.土壤影响专项评价</w:t>
            </w:r>
          </w:p>
          <w:p>
            <w:pPr>
              <w:spacing w:line="360" w:lineRule="auto"/>
              <w:ind w:firstLine="420" w:firstLineChars="200"/>
              <w:rPr>
                <w:kern w:val="0"/>
                <w:szCs w:val="21"/>
              </w:rPr>
            </w:pPr>
            <w:r>
              <w:rPr>
                <w:kern w:val="0"/>
                <w:szCs w:val="21"/>
              </w:rPr>
              <w:t>6.固体废弃物影响专项评价</w:t>
            </w:r>
          </w:p>
          <w:p>
            <w:pPr>
              <w:spacing w:line="360" w:lineRule="auto"/>
              <w:ind w:firstLine="480" w:firstLineChars="200"/>
            </w:pPr>
            <w:r>
              <w:rPr>
                <w:kern w:val="0"/>
                <w:sz w:val="24"/>
              </w:rPr>
              <w:t>以上专项评价未包括的可另列专项，专项评价按照《环境影响评价技术导则》中的要求进行。</w:t>
            </w:r>
          </w:p>
        </w:tc>
      </w:tr>
    </w:tbl>
    <w:p>
      <w:pPr>
        <w:pStyle w:val="19"/>
        <w:adjustRightInd w:val="0"/>
        <w:snapToGrid w:val="0"/>
        <w:spacing w:before="0" w:beforeAutospacing="0" w:after="0" w:afterAutospacing="0" w:line="648" w:lineRule="auto"/>
        <w:outlineLvl w:val="0"/>
        <w:rPr>
          <w:rFonts w:eastAsia="黑体"/>
        </w:rPr>
      </w:pPr>
    </w:p>
    <w:sectPr>
      <w:footerReference r:id="rId6" w:type="default"/>
      <w:pgSz w:w="11906" w:h="16838"/>
      <w:pgMar w:top="1701" w:right="1531" w:bottom="1985"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5"/>
        <w:rFonts w:ascii="宋体" w:hAnsi="宋体"/>
        <w:sz w:val="28"/>
        <w:szCs w:val="28"/>
      </w:rPr>
    </w:pPr>
    <w:r>
      <w:rPr>
        <w:rStyle w:val="25"/>
        <w:rFonts w:hint="eastAsia" w:ascii="宋体" w:hAnsi="宋体"/>
        <w:sz w:val="28"/>
        <w:szCs w:val="28"/>
      </w:rPr>
      <w:t>—</w:t>
    </w:r>
    <w:r>
      <w:rPr>
        <w:rStyle w:val="25"/>
        <w:rFonts w:hint="eastAsia" w:ascii="宋体" w:hAnsi="宋体"/>
        <w:sz w:val="20"/>
      </w:rPr>
      <w:t xml:space="preserve">  </w:t>
    </w:r>
    <w:r>
      <w:rPr>
        <w:rStyle w:val="25"/>
        <w:rFonts w:ascii="宋体" w:hAnsi="宋体"/>
        <w:sz w:val="26"/>
        <w:szCs w:val="26"/>
      </w:rPr>
      <w:fldChar w:fldCharType="begin"/>
    </w:r>
    <w:r>
      <w:rPr>
        <w:rStyle w:val="25"/>
        <w:rFonts w:ascii="宋体" w:hAnsi="宋体"/>
        <w:sz w:val="26"/>
        <w:szCs w:val="26"/>
      </w:rPr>
      <w:instrText xml:space="preserve">PAGE  </w:instrText>
    </w:r>
    <w:r>
      <w:rPr>
        <w:rStyle w:val="25"/>
        <w:rFonts w:ascii="宋体" w:hAnsi="宋体"/>
        <w:sz w:val="26"/>
        <w:szCs w:val="26"/>
      </w:rPr>
      <w:fldChar w:fldCharType="separate"/>
    </w:r>
    <w:r>
      <w:rPr>
        <w:rStyle w:val="25"/>
        <w:rFonts w:ascii="宋体" w:hAnsi="宋体"/>
        <w:sz w:val="26"/>
        <w:szCs w:val="26"/>
      </w:rPr>
      <w:t>20</w:t>
    </w:r>
    <w:r>
      <w:rPr>
        <w:rStyle w:val="25"/>
        <w:rFonts w:ascii="宋体" w:hAnsi="宋体"/>
        <w:sz w:val="26"/>
        <w:szCs w:val="26"/>
      </w:rPr>
      <w:fldChar w:fldCharType="end"/>
    </w:r>
    <w:r>
      <w:rPr>
        <w:rStyle w:val="25"/>
        <w:rFonts w:hint="eastAsia" w:ascii="宋体" w:hAnsi="宋体"/>
        <w:sz w:val="20"/>
      </w:rPr>
      <w:t xml:space="preserve">  </w:t>
    </w:r>
    <w:r>
      <w:rPr>
        <w:rStyle w:val="25"/>
        <w:rFonts w:hint="eastAsia" w:ascii="宋体" w:hAnsi="宋体"/>
        <w:sz w:val="28"/>
        <w:szCs w:val="28"/>
      </w:rPr>
      <w:t>—</w:t>
    </w:r>
  </w:p>
  <w:p>
    <w:pPr>
      <w:pStyle w:val="16"/>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5"/>
        <w:rFonts w:ascii="宋体" w:hAnsi="宋体"/>
        <w:sz w:val="28"/>
        <w:szCs w:val="28"/>
      </w:rPr>
    </w:pPr>
    <w:r>
      <w:rPr>
        <w:rStyle w:val="25"/>
        <w:rFonts w:hint="eastAsia" w:ascii="宋体" w:hAnsi="宋体"/>
        <w:sz w:val="28"/>
        <w:szCs w:val="28"/>
      </w:rPr>
      <w:t>—</w:t>
    </w:r>
    <w:r>
      <w:rPr>
        <w:rStyle w:val="25"/>
        <w:rFonts w:hint="eastAsia" w:ascii="宋体" w:hAnsi="宋体"/>
        <w:sz w:val="20"/>
      </w:rPr>
      <w:t xml:space="preserve">  </w:t>
    </w:r>
    <w:r>
      <w:rPr>
        <w:rStyle w:val="25"/>
        <w:rFonts w:ascii="宋体" w:hAnsi="宋体"/>
        <w:sz w:val="26"/>
        <w:szCs w:val="26"/>
      </w:rPr>
      <w:fldChar w:fldCharType="begin"/>
    </w:r>
    <w:r>
      <w:rPr>
        <w:rStyle w:val="25"/>
        <w:rFonts w:ascii="宋体" w:hAnsi="宋体"/>
        <w:sz w:val="26"/>
        <w:szCs w:val="26"/>
      </w:rPr>
      <w:instrText xml:space="preserve">PAGE  </w:instrText>
    </w:r>
    <w:r>
      <w:rPr>
        <w:rStyle w:val="25"/>
        <w:rFonts w:ascii="宋体" w:hAnsi="宋体"/>
        <w:sz w:val="26"/>
        <w:szCs w:val="26"/>
      </w:rPr>
      <w:fldChar w:fldCharType="separate"/>
    </w:r>
    <w:r>
      <w:rPr>
        <w:rStyle w:val="25"/>
        <w:rFonts w:ascii="宋体" w:hAnsi="宋体"/>
        <w:sz w:val="26"/>
        <w:szCs w:val="26"/>
      </w:rPr>
      <w:t>73</w:t>
    </w:r>
    <w:r>
      <w:rPr>
        <w:rStyle w:val="25"/>
        <w:rFonts w:ascii="宋体" w:hAnsi="宋体"/>
        <w:sz w:val="26"/>
        <w:szCs w:val="26"/>
      </w:rPr>
      <w:fldChar w:fldCharType="end"/>
    </w:r>
    <w:r>
      <w:rPr>
        <w:rStyle w:val="25"/>
        <w:rFonts w:hint="eastAsia" w:ascii="宋体" w:hAnsi="宋体"/>
        <w:sz w:val="20"/>
      </w:rPr>
      <w:t xml:space="preserve">  </w:t>
    </w:r>
    <w:r>
      <w:rPr>
        <w:rStyle w:val="25"/>
        <w:rFonts w:hint="eastAsia" w:ascii="宋体" w:hAnsi="宋体"/>
        <w:sz w:val="28"/>
        <w:szCs w:val="28"/>
      </w:rPr>
      <w:t>—</w:t>
    </w:r>
  </w:p>
  <w:p>
    <w:pPr>
      <w:pStyle w:val="16"/>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90960"/>
    <w:multiLevelType w:val="singleLevel"/>
    <w:tmpl w:val="14B90960"/>
    <w:lvl w:ilvl="0" w:tentative="0">
      <w:start w:val="1"/>
      <w:numFmt w:val="decimal"/>
      <w:suff w:val="nothing"/>
      <w:lvlText w:val="（%1）"/>
      <w:lvlJc w:val="left"/>
    </w:lvl>
  </w:abstractNum>
  <w:abstractNum w:abstractNumId="1">
    <w:nsid w:val="2783EB68"/>
    <w:multiLevelType w:val="singleLevel"/>
    <w:tmpl w:val="2783EB68"/>
    <w:lvl w:ilvl="0" w:tentative="0">
      <w:start w:val="1"/>
      <w:numFmt w:val="decimal"/>
      <w:suff w:val="nothing"/>
      <w:lvlText w:val="（%1）"/>
      <w:lvlJc w:val="left"/>
    </w:lvl>
  </w:abstractNum>
  <w:abstractNum w:abstractNumId="2">
    <w:nsid w:val="508B1FB4"/>
    <w:multiLevelType w:val="multilevel"/>
    <w:tmpl w:val="508B1FB4"/>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attachedTemplate r:id="rId1"/>
  <w:documentProtection w:edit="trackedChanges" w:enforcement="0"/>
  <w:defaultTabStop w:val="420"/>
  <w:doNotHyphenateCaps/>
  <w:drawingGridHorizontalSpacing w:val="105"/>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4947"/>
    <w:rsid w:val="000041AB"/>
    <w:rsid w:val="00004E6B"/>
    <w:rsid w:val="000060B3"/>
    <w:rsid w:val="0000625D"/>
    <w:rsid w:val="00011C99"/>
    <w:rsid w:val="00013BE0"/>
    <w:rsid w:val="00021506"/>
    <w:rsid w:val="0002417B"/>
    <w:rsid w:val="00027B1F"/>
    <w:rsid w:val="00031E28"/>
    <w:rsid w:val="000324CD"/>
    <w:rsid w:val="00041F71"/>
    <w:rsid w:val="0004364B"/>
    <w:rsid w:val="00043B16"/>
    <w:rsid w:val="000478F9"/>
    <w:rsid w:val="00056486"/>
    <w:rsid w:val="00057C7E"/>
    <w:rsid w:val="00061B1F"/>
    <w:rsid w:val="00062C19"/>
    <w:rsid w:val="000643CA"/>
    <w:rsid w:val="00067F6B"/>
    <w:rsid w:val="000733C4"/>
    <w:rsid w:val="00074783"/>
    <w:rsid w:val="000753B4"/>
    <w:rsid w:val="0008004F"/>
    <w:rsid w:val="0008070B"/>
    <w:rsid w:val="000810AC"/>
    <w:rsid w:val="00081A02"/>
    <w:rsid w:val="00082231"/>
    <w:rsid w:val="0008413B"/>
    <w:rsid w:val="00084731"/>
    <w:rsid w:val="00085AF4"/>
    <w:rsid w:val="00087D23"/>
    <w:rsid w:val="00092D38"/>
    <w:rsid w:val="0009377B"/>
    <w:rsid w:val="00093A23"/>
    <w:rsid w:val="000948F0"/>
    <w:rsid w:val="000954A2"/>
    <w:rsid w:val="000A20C9"/>
    <w:rsid w:val="000A2AC1"/>
    <w:rsid w:val="000A6611"/>
    <w:rsid w:val="000A798D"/>
    <w:rsid w:val="000B007C"/>
    <w:rsid w:val="000B058F"/>
    <w:rsid w:val="000B20AE"/>
    <w:rsid w:val="000B4467"/>
    <w:rsid w:val="000B4DB9"/>
    <w:rsid w:val="000B4FF6"/>
    <w:rsid w:val="000C09AC"/>
    <w:rsid w:val="000C5B56"/>
    <w:rsid w:val="000C6696"/>
    <w:rsid w:val="000C767F"/>
    <w:rsid w:val="000C7ACB"/>
    <w:rsid w:val="000D19AE"/>
    <w:rsid w:val="000D2B56"/>
    <w:rsid w:val="000D33B3"/>
    <w:rsid w:val="000D5A44"/>
    <w:rsid w:val="000E3D5F"/>
    <w:rsid w:val="000E3ED2"/>
    <w:rsid w:val="000E5E0A"/>
    <w:rsid w:val="000F04E4"/>
    <w:rsid w:val="000F1EB7"/>
    <w:rsid w:val="000F2C5D"/>
    <w:rsid w:val="000F5619"/>
    <w:rsid w:val="00100A33"/>
    <w:rsid w:val="001048B0"/>
    <w:rsid w:val="001056D7"/>
    <w:rsid w:val="00105FE4"/>
    <w:rsid w:val="00113D30"/>
    <w:rsid w:val="00116981"/>
    <w:rsid w:val="00117C2B"/>
    <w:rsid w:val="00131F42"/>
    <w:rsid w:val="00135406"/>
    <w:rsid w:val="001357F1"/>
    <w:rsid w:val="00140FA8"/>
    <w:rsid w:val="00141D53"/>
    <w:rsid w:val="00142FEB"/>
    <w:rsid w:val="00143A2D"/>
    <w:rsid w:val="001456C0"/>
    <w:rsid w:val="00145A41"/>
    <w:rsid w:val="00151675"/>
    <w:rsid w:val="001518F4"/>
    <w:rsid w:val="00152219"/>
    <w:rsid w:val="00154708"/>
    <w:rsid w:val="001553A7"/>
    <w:rsid w:val="001566FE"/>
    <w:rsid w:val="00157435"/>
    <w:rsid w:val="001744CF"/>
    <w:rsid w:val="0017504D"/>
    <w:rsid w:val="0017671A"/>
    <w:rsid w:val="00176ACE"/>
    <w:rsid w:val="00176F8C"/>
    <w:rsid w:val="00177422"/>
    <w:rsid w:val="001828F3"/>
    <w:rsid w:val="001835E7"/>
    <w:rsid w:val="00184590"/>
    <w:rsid w:val="001870D1"/>
    <w:rsid w:val="0018781E"/>
    <w:rsid w:val="0019262D"/>
    <w:rsid w:val="001943AA"/>
    <w:rsid w:val="001A1B35"/>
    <w:rsid w:val="001A35AD"/>
    <w:rsid w:val="001A48A2"/>
    <w:rsid w:val="001A6537"/>
    <w:rsid w:val="001A6CAB"/>
    <w:rsid w:val="001A6CF3"/>
    <w:rsid w:val="001A6F61"/>
    <w:rsid w:val="001B0EC9"/>
    <w:rsid w:val="001B1BAE"/>
    <w:rsid w:val="001B5781"/>
    <w:rsid w:val="001B6D8D"/>
    <w:rsid w:val="001B72B8"/>
    <w:rsid w:val="001C08BF"/>
    <w:rsid w:val="001C66BF"/>
    <w:rsid w:val="001C69B3"/>
    <w:rsid w:val="001C7C68"/>
    <w:rsid w:val="001D369B"/>
    <w:rsid w:val="001D449C"/>
    <w:rsid w:val="001D5595"/>
    <w:rsid w:val="001D7230"/>
    <w:rsid w:val="001D784A"/>
    <w:rsid w:val="001D7874"/>
    <w:rsid w:val="001D7F22"/>
    <w:rsid w:val="001E002A"/>
    <w:rsid w:val="001E37E8"/>
    <w:rsid w:val="001E3B20"/>
    <w:rsid w:val="001E3E57"/>
    <w:rsid w:val="001F05BC"/>
    <w:rsid w:val="001F0F17"/>
    <w:rsid w:val="001F3347"/>
    <w:rsid w:val="001F4FEF"/>
    <w:rsid w:val="001F69E4"/>
    <w:rsid w:val="00200AD5"/>
    <w:rsid w:val="00203796"/>
    <w:rsid w:val="00204271"/>
    <w:rsid w:val="00210575"/>
    <w:rsid w:val="002125B4"/>
    <w:rsid w:val="00213CAF"/>
    <w:rsid w:val="002155B8"/>
    <w:rsid w:val="00215A8D"/>
    <w:rsid w:val="002220C8"/>
    <w:rsid w:val="00222CF4"/>
    <w:rsid w:val="00223450"/>
    <w:rsid w:val="00224839"/>
    <w:rsid w:val="002249B2"/>
    <w:rsid w:val="00226574"/>
    <w:rsid w:val="002278EC"/>
    <w:rsid w:val="0023280E"/>
    <w:rsid w:val="00234564"/>
    <w:rsid w:val="002377D1"/>
    <w:rsid w:val="00241628"/>
    <w:rsid w:val="00242705"/>
    <w:rsid w:val="002428B8"/>
    <w:rsid w:val="00245185"/>
    <w:rsid w:val="002460B4"/>
    <w:rsid w:val="0025020F"/>
    <w:rsid w:val="002506BC"/>
    <w:rsid w:val="0025211B"/>
    <w:rsid w:val="00252159"/>
    <w:rsid w:val="00254345"/>
    <w:rsid w:val="00264557"/>
    <w:rsid w:val="002700CD"/>
    <w:rsid w:val="0027680E"/>
    <w:rsid w:val="002776B3"/>
    <w:rsid w:val="002805AB"/>
    <w:rsid w:val="00281BCF"/>
    <w:rsid w:val="00284204"/>
    <w:rsid w:val="00291773"/>
    <w:rsid w:val="002937A3"/>
    <w:rsid w:val="002942F9"/>
    <w:rsid w:val="00295B70"/>
    <w:rsid w:val="002A03EF"/>
    <w:rsid w:val="002A168C"/>
    <w:rsid w:val="002A197F"/>
    <w:rsid w:val="002A21D3"/>
    <w:rsid w:val="002A3DC7"/>
    <w:rsid w:val="002A3DEB"/>
    <w:rsid w:val="002A4BB9"/>
    <w:rsid w:val="002A7852"/>
    <w:rsid w:val="002B49E2"/>
    <w:rsid w:val="002B4E85"/>
    <w:rsid w:val="002B7B00"/>
    <w:rsid w:val="002B7C44"/>
    <w:rsid w:val="002C0999"/>
    <w:rsid w:val="002C1A25"/>
    <w:rsid w:val="002C2B17"/>
    <w:rsid w:val="002C2DAF"/>
    <w:rsid w:val="002C3300"/>
    <w:rsid w:val="002C461D"/>
    <w:rsid w:val="002D0673"/>
    <w:rsid w:val="002D2C54"/>
    <w:rsid w:val="002D3388"/>
    <w:rsid w:val="002D3DD0"/>
    <w:rsid w:val="002D7420"/>
    <w:rsid w:val="002D750A"/>
    <w:rsid w:val="002E13B5"/>
    <w:rsid w:val="002E19B8"/>
    <w:rsid w:val="002E1C61"/>
    <w:rsid w:val="002E1F3A"/>
    <w:rsid w:val="002E298A"/>
    <w:rsid w:val="002E31A9"/>
    <w:rsid w:val="002E59B0"/>
    <w:rsid w:val="002E6A29"/>
    <w:rsid w:val="002E7FB3"/>
    <w:rsid w:val="002F1B0B"/>
    <w:rsid w:val="002F3396"/>
    <w:rsid w:val="00301978"/>
    <w:rsid w:val="0030330E"/>
    <w:rsid w:val="0030332C"/>
    <w:rsid w:val="00303A65"/>
    <w:rsid w:val="003051C2"/>
    <w:rsid w:val="0030699D"/>
    <w:rsid w:val="00306CF7"/>
    <w:rsid w:val="00307C74"/>
    <w:rsid w:val="003118A7"/>
    <w:rsid w:val="00312296"/>
    <w:rsid w:val="00313206"/>
    <w:rsid w:val="00313403"/>
    <w:rsid w:val="00313A86"/>
    <w:rsid w:val="0031481C"/>
    <w:rsid w:val="00314F0E"/>
    <w:rsid w:val="00316F88"/>
    <w:rsid w:val="00321B60"/>
    <w:rsid w:val="00321BAC"/>
    <w:rsid w:val="00321D8E"/>
    <w:rsid w:val="0032313E"/>
    <w:rsid w:val="00325928"/>
    <w:rsid w:val="00326470"/>
    <w:rsid w:val="00332863"/>
    <w:rsid w:val="003344D2"/>
    <w:rsid w:val="003359AB"/>
    <w:rsid w:val="00336488"/>
    <w:rsid w:val="0033684D"/>
    <w:rsid w:val="00336BCC"/>
    <w:rsid w:val="00336D07"/>
    <w:rsid w:val="00337B42"/>
    <w:rsid w:val="00341B42"/>
    <w:rsid w:val="0034348F"/>
    <w:rsid w:val="00343817"/>
    <w:rsid w:val="00343D5B"/>
    <w:rsid w:val="00356653"/>
    <w:rsid w:val="0035743F"/>
    <w:rsid w:val="00357BE2"/>
    <w:rsid w:val="0036170C"/>
    <w:rsid w:val="00366E0F"/>
    <w:rsid w:val="003730C1"/>
    <w:rsid w:val="00373E44"/>
    <w:rsid w:val="003762CB"/>
    <w:rsid w:val="00381A72"/>
    <w:rsid w:val="00383E3B"/>
    <w:rsid w:val="00384676"/>
    <w:rsid w:val="00387FBB"/>
    <w:rsid w:val="00390857"/>
    <w:rsid w:val="003914A3"/>
    <w:rsid w:val="00392F86"/>
    <w:rsid w:val="003930B5"/>
    <w:rsid w:val="0039336A"/>
    <w:rsid w:val="00394CAC"/>
    <w:rsid w:val="003962F0"/>
    <w:rsid w:val="003A2B79"/>
    <w:rsid w:val="003A2C74"/>
    <w:rsid w:val="003A2CFF"/>
    <w:rsid w:val="003A4BF3"/>
    <w:rsid w:val="003A79CE"/>
    <w:rsid w:val="003B1B6C"/>
    <w:rsid w:val="003B420D"/>
    <w:rsid w:val="003B7FC3"/>
    <w:rsid w:val="003C0A7D"/>
    <w:rsid w:val="003C5D73"/>
    <w:rsid w:val="003C6C16"/>
    <w:rsid w:val="003C79B5"/>
    <w:rsid w:val="003D105A"/>
    <w:rsid w:val="003D64D8"/>
    <w:rsid w:val="003D794D"/>
    <w:rsid w:val="003E079E"/>
    <w:rsid w:val="003E2821"/>
    <w:rsid w:val="003E3058"/>
    <w:rsid w:val="003E34FA"/>
    <w:rsid w:val="003E3A4E"/>
    <w:rsid w:val="003E6E90"/>
    <w:rsid w:val="003E764F"/>
    <w:rsid w:val="003E76A9"/>
    <w:rsid w:val="003F0809"/>
    <w:rsid w:val="003F46AE"/>
    <w:rsid w:val="003F5191"/>
    <w:rsid w:val="003F6A8C"/>
    <w:rsid w:val="003F72DC"/>
    <w:rsid w:val="003F755C"/>
    <w:rsid w:val="00402DC7"/>
    <w:rsid w:val="00405299"/>
    <w:rsid w:val="00406F01"/>
    <w:rsid w:val="00413B85"/>
    <w:rsid w:val="00414116"/>
    <w:rsid w:val="00416D50"/>
    <w:rsid w:val="00416FD5"/>
    <w:rsid w:val="00417772"/>
    <w:rsid w:val="00417FE3"/>
    <w:rsid w:val="00420E6A"/>
    <w:rsid w:val="004216C9"/>
    <w:rsid w:val="00423A22"/>
    <w:rsid w:val="00423FD7"/>
    <w:rsid w:val="00425A9E"/>
    <w:rsid w:val="00425D5E"/>
    <w:rsid w:val="00426D6B"/>
    <w:rsid w:val="00431E6C"/>
    <w:rsid w:val="00432340"/>
    <w:rsid w:val="00433CE7"/>
    <w:rsid w:val="00435A13"/>
    <w:rsid w:val="0043725A"/>
    <w:rsid w:val="0044028F"/>
    <w:rsid w:val="00440D75"/>
    <w:rsid w:val="00441773"/>
    <w:rsid w:val="004419D4"/>
    <w:rsid w:val="00443837"/>
    <w:rsid w:val="00447E14"/>
    <w:rsid w:val="00452738"/>
    <w:rsid w:val="00453E8F"/>
    <w:rsid w:val="00455C6B"/>
    <w:rsid w:val="00456091"/>
    <w:rsid w:val="00456AE2"/>
    <w:rsid w:val="00463076"/>
    <w:rsid w:val="004648A3"/>
    <w:rsid w:val="00464AA1"/>
    <w:rsid w:val="00466321"/>
    <w:rsid w:val="00471CAD"/>
    <w:rsid w:val="00474DAA"/>
    <w:rsid w:val="0047628B"/>
    <w:rsid w:val="00480B66"/>
    <w:rsid w:val="00481D1F"/>
    <w:rsid w:val="00482029"/>
    <w:rsid w:val="00482A88"/>
    <w:rsid w:val="004833FC"/>
    <w:rsid w:val="004838B6"/>
    <w:rsid w:val="00484B9B"/>
    <w:rsid w:val="004855F6"/>
    <w:rsid w:val="00485F3E"/>
    <w:rsid w:val="00486103"/>
    <w:rsid w:val="0048661E"/>
    <w:rsid w:val="004939E4"/>
    <w:rsid w:val="00494670"/>
    <w:rsid w:val="00496B26"/>
    <w:rsid w:val="00497802"/>
    <w:rsid w:val="004A3823"/>
    <w:rsid w:val="004A4CB4"/>
    <w:rsid w:val="004A70DC"/>
    <w:rsid w:val="004A7F6E"/>
    <w:rsid w:val="004B26C8"/>
    <w:rsid w:val="004B512E"/>
    <w:rsid w:val="004C379F"/>
    <w:rsid w:val="004C53CA"/>
    <w:rsid w:val="004C5DBA"/>
    <w:rsid w:val="004C781D"/>
    <w:rsid w:val="004D0902"/>
    <w:rsid w:val="004D1794"/>
    <w:rsid w:val="004D1DC7"/>
    <w:rsid w:val="004E01CC"/>
    <w:rsid w:val="004E279D"/>
    <w:rsid w:val="004E53C6"/>
    <w:rsid w:val="004E57B4"/>
    <w:rsid w:val="004E6946"/>
    <w:rsid w:val="004F1AD8"/>
    <w:rsid w:val="004F1B78"/>
    <w:rsid w:val="004F241E"/>
    <w:rsid w:val="004F3B57"/>
    <w:rsid w:val="004F7124"/>
    <w:rsid w:val="00500C0C"/>
    <w:rsid w:val="00500F8C"/>
    <w:rsid w:val="005039CB"/>
    <w:rsid w:val="00504070"/>
    <w:rsid w:val="0050558F"/>
    <w:rsid w:val="00506286"/>
    <w:rsid w:val="00507E93"/>
    <w:rsid w:val="00510813"/>
    <w:rsid w:val="00511990"/>
    <w:rsid w:val="00511DE0"/>
    <w:rsid w:val="005137DC"/>
    <w:rsid w:val="00514870"/>
    <w:rsid w:val="00514B9B"/>
    <w:rsid w:val="00516FA9"/>
    <w:rsid w:val="0051713E"/>
    <w:rsid w:val="00517AFF"/>
    <w:rsid w:val="00517F02"/>
    <w:rsid w:val="00524303"/>
    <w:rsid w:val="0052574B"/>
    <w:rsid w:val="005258A2"/>
    <w:rsid w:val="00525D48"/>
    <w:rsid w:val="00532EFE"/>
    <w:rsid w:val="00536A94"/>
    <w:rsid w:val="00536F8F"/>
    <w:rsid w:val="005401AE"/>
    <w:rsid w:val="005425E7"/>
    <w:rsid w:val="00542E07"/>
    <w:rsid w:val="0054347A"/>
    <w:rsid w:val="0054389D"/>
    <w:rsid w:val="00543A47"/>
    <w:rsid w:val="00544D50"/>
    <w:rsid w:val="00545424"/>
    <w:rsid w:val="0054590B"/>
    <w:rsid w:val="005503E9"/>
    <w:rsid w:val="0055382D"/>
    <w:rsid w:val="00553964"/>
    <w:rsid w:val="00554A7B"/>
    <w:rsid w:val="0055572C"/>
    <w:rsid w:val="0056106A"/>
    <w:rsid w:val="00562E48"/>
    <w:rsid w:val="0056326A"/>
    <w:rsid w:val="0056477C"/>
    <w:rsid w:val="0056506D"/>
    <w:rsid w:val="00565FA7"/>
    <w:rsid w:val="005720AE"/>
    <w:rsid w:val="005720AF"/>
    <w:rsid w:val="005726F0"/>
    <w:rsid w:val="005739F8"/>
    <w:rsid w:val="00576BD4"/>
    <w:rsid w:val="0058029A"/>
    <w:rsid w:val="00580339"/>
    <w:rsid w:val="00580D69"/>
    <w:rsid w:val="00581B27"/>
    <w:rsid w:val="00587664"/>
    <w:rsid w:val="00594D77"/>
    <w:rsid w:val="0059688E"/>
    <w:rsid w:val="005969E4"/>
    <w:rsid w:val="005A063C"/>
    <w:rsid w:val="005A06B7"/>
    <w:rsid w:val="005A0EFF"/>
    <w:rsid w:val="005A1759"/>
    <w:rsid w:val="005A3618"/>
    <w:rsid w:val="005A68A7"/>
    <w:rsid w:val="005B2841"/>
    <w:rsid w:val="005B2B0C"/>
    <w:rsid w:val="005B3805"/>
    <w:rsid w:val="005B4B0D"/>
    <w:rsid w:val="005B522E"/>
    <w:rsid w:val="005C14FB"/>
    <w:rsid w:val="005C27B1"/>
    <w:rsid w:val="005C28C1"/>
    <w:rsid w:val="005C51B4"/>
    <w:rsid w:val="005C64E8"/>
    <w:rsid w:val="005C67A4"/>
    <w:rsid w:val="005D0F21"/>
    <w:rsid w:val="005D36AB"/>
    <w:rsid w:val="005D674B"/>
    <w:rsid w:val="005D6B22"/>
    <w:rsid w:val="005E389E"/>
    <w:rsid w:val="005E4ECB"/>
    <w:rsid w:val="005E6300"/>
    <w:rsid w:val="005E7A12"/>
    <w:rsid w:val="005F04FD"/>
    <w:rsid w:val="005F4CDE"/>
    <w:rsid w:val="005F61F1"/>
    <w:rsid w:val="005F6324"/>
    <w:rsid w:val="005F703D"/>
    <w:rsid w:val="00601582"/>
    <w:rsid w:val="006020A6"/>
    <w:rsid w:val="00605233"/>
    <w:rsid w:val="006123A1"/>
    <w:rsid w:val="006160A5"/>
    <w:rsid w:val="006170C0"/>
    <w:rsid w:val="0061718C"/>
    <w:rsid w:val="00617CC3"/>
    <w:rsid w:val="00620740"/>
    <w:rsid w:val="0062608F"/>
    <w:rsid w:val="00632D47"/>
    <w:rsid w:val="0063464A"/>
    <w:rsid w:val="00634B75"/>
    <w:rsid w:val="006358DA"/>
    <w:rsid w:val="006377A6"/>
    <w:rsid w:val="00637A3D"/>
    <w:rsid w:val="006411EF"/>
    <w:rsid w:val="00645145"/>
    <w:rsid w:val="00646282"/>
    <w:rsid w:val="0065746F"/>
    <w:rsid w:val="0066447D"/>
    <w:rsid w:val="00665475"/>
    <w:rsid w:val="006669A1"/>
    <w:rsid w:val="006748B8"/>
    <w:rsid w:val="006770F3"/>
    <w:rsid w:val="006775C3"/>
    <w:rsid w:val="006814D8"/>
    <w:rsid w:val="00681E87"/>
    <w:rsid w:val="00691380"/>
    <w:rsid w:val="0069290A"/>
    <w:rsid w:val="00694439"/>
    <w:rsid w:val="00695601"/>
    <w:rsid w:val="006959CE"/>
    <w:rsid w:val="0069775A"/>
    <w:rsid w:val="00697813"/>
    <w:rsid w:val="006A233B"/>
    <w:rsid w:val="006A3EE8"/>
    <w:rsid w:val="006A72BF"/>
    <w:rsid w:val="006A74D2"/>
    <w:rsid w:val="006A7D9B"/>
    <w:rsid w:val="006A7F60"/>
    <w:rsid w:val="006B03F2"/>
    <w:rsid w:val="006B1270"/>
    <w:rsid w:val="006B1C34"/>
    <w:rsid w:val="006B3355"/>
    <w:rsid w:val="006B37DC"/>
    <w:rsid w:val="006B4F68"/>
    <w:rsid w:val="006C0592"/>
    <w:rsid w:val="006C0FC2"/>
    <w:rsid w:val="006C272E"/>
    <w:rsid w:val="006C5065"/>
    <w:rsid w:val="006C5479"/>
    <w:rsid w:val="006C6BF7"/>
    <w:rsid w:val="006D13B5"/>
    <w:rsid w:val="006D403B"/>
    <w:rsid w:val="006D476C"/>
    <w:rsid w:val="006E12FF"/>
    <w:rsid w:val="006E607E"/>
    <w:rsid w:val="006E6CD7"/>
    <w:rsid w:val="006E7731"/>
    <w:rsid w:val="006F07B8"/>
    <w:rsid w:val="0070139B"/>
    <w:rsid w:val="007030BA"/>
    <w:rsid w:val="00703EE9"/>
    <w:rsid w:val="00704663"/>
    <w:rsid w:val="00705125"/>
    <w:rsid w:val="00706C5D"/>
    <w:rsid w:val="00706FB8"/>
    <w:rsid w:val="00710B80"/>
    <w:rsid w:val="00711100"/>
    <w:rsid w:val="00721563"/>
    <w:rsid w:val="007245BC"/>
    <w:rsid w:val="007263C5"/>
    <w:rsid w:val="0073283B"/>
    <w:rsid w:val="00732922"/>
    <w:rsid w:val="007365C1"/>
    <w:rsid w:val="00736A7B"/>
    <w:rsid w:val="007416B9"/>
    <w:rsid w:val="0074385E"/>
    <w:rsid w:val="00743D52"/>
    <w:rsid w:val="00744979"/>
    <w:rsid w:val="00745E4B"/>
    <w:rsid w:val="0075162E"/>
    <w:rsid w:val="00754034"/>
    <w:rsid w:val="00756556"/>
    <w:rsid w:val="0075672F"/>
    <w:rsid w:val="00756C65"/>
    <w:rsid w:val="007618C4"/>
    <w:rsid w:val="00761CB2"/>
    <w:rsid w:val="007641A8"/>
    <w:rsid w:val="00764967"/>
    <w:rsid w:val="00767980"/>
    <w:rsid w:val="00770B19"/>
    <w:rsid w:val="00770FD6"/>
    <w:rsid w:val="0077463F"/>
    <w:rsid w:val="00780FEB"/>
    <w:rsid w:val="00781904"/>
    <w:rsid w:val="007836EA"/>
    <w:rsid w:val="00784CDA"/>
    <w:rsid w:val="0078730D"/>
    <w:rsid w:val="00787C52"/>
    <w:rsid w:val="0079013F"/>
    <w:rsid w:val="007905BD"/>
    <w:rsid w:val="007906C4"/>
    <w:rsid w:val="00793423"/>
    <w:rsid w:val="007940EA"/>
    <w:rsid w:val="007942C5"/>
    <w:rsid w:val="00794F43"/>
    <w:rsid w:val="007967E8"/>
    <w:rsid w:val="007A1B2C"/>
    <w:rsid w:val="007A2170"/>
    <w:rsid w:val="007A22BF"/>
    <w:rsid w:val="007A3323"/>
    <w:rsid w:val="007B4C37"/>
    <w:rsid w:val="007B6EE7"/>
    <w:rsid w:val="007B72B8"/>
    <w:rsid w:val="007B7A58"/>
    <w:rsid w:val="007B7F80"/>
    <w:rsid w:val="007C21B5"/>
    <w:rsid w:val="007C3B11"/>
    <w:rsid w:val="007C5524"/>
    <w:rsid w:val="007C5E0E"/>
    <w:rsid w:val="007D3B8E"/>
    <w:rsid w:val="007D42B7"/>
    <w:rsid w:val="007E4BD2"/>
    <w:rsid w:val="007E5C89"/>
    <w:rsid w:val="007F1558"/>
    <w:rsid w:val="007F1DFC"/>
    <w:rsid w:val="007F372B"/>
    <w:rsid w:val="007F3E49"/>
    <w:rsid w:val="008011F0"/>
    <w:rsid w:val="00801393"/>
    <w:rsid w:val="008024B6"/>
    <w:rsid w:val="00802F88"/>
    <w:rsid w:val="00805396"/>
    <w:rsid w:val="00806879"/>
    <w:rsid w:val="00811690"/>
    <w:rsid w:val="0081293E"/>
    <w:rsid w:val="008146D4"/>
    <w:rsid w:val="00815465"/>
    <w:rsid w:val="00817584"/>
    <w:rsid w:val="00817E9A"/>
    <w:rsid w:val="008206AE"/>
    <w:rsid w:val="00820CC3"/>
    <w:rsid w:val="00825467"/>
    <w:rsid w:val="00825942"/>
    <w:rsid w:val="00827987"/>
    <w:rsid w:val="008306BD"/>
    <w:rsid w:val="008313A8"/>
    <w:rsid w:val="00831A80"/>
    <w:rsid w:val="00832D89"/>
    <w:rsid w:val="00833743"/>
    <w:rsid w:val="008340A4"/>
    <w:rsid w:val="00840721"/>
    <w:rsid w:val="008408E0"/>
    <w:rsid w:val="00844163"/>
    <w:rsid w:val="00852038"/>
    <w:rsid w:val="00852AD5"/>
    <w:rsid w:val="00852D66"/>
    <w:rsid w:val="0085330C"/>
    <w:rsid w:val="00854D8F"/>
    <w:rsid w:val="008553A6"/>
    <w:rsid w:val="008572CA"/>
    <w:rsid w:val="00863105"/>
    <w:rsid w:val="00863A2D"/>
    <w:rsid w:val="00863A82"/>
    <w:rsid w:val="00864945"/>
    <w:rsid w:val="0086696C"/>
    <w:rsid w:val="0087135F"/>
    <w:rsid w:val="00872D94"/>
    <w:rsid w:val="008764E5"/>
    <w:rsid w:val="00876C5D"/>
    <w:rsid w:val="00877479"/>
    <w:rsid w:val="00880364"/>
    <w:rsid w:val="00884701"/>
    <w:rsid w:val="00884DA3"/>
    <w:rsid w:val="008850D7"/>
    <w:rsid w:val="00885513"/>
    <w:rsid w:val="00886C69"/>
    <w:rsid w:val="00890199"/>
    <w:rsid w:val="00891592"/>
    <w:rsid w:val="00891E9E"/>
    <w:rsid w:val="00892232"/>
    <w:rsid w:val="00893386"/>
    <w:rsid w:val="00894C28"/>
    <w:rsid w:val="008950B6"/>
    <w:rsid w:val="008A0214"/>
    <w:rsid w:val="008A2B20"/>
    <w:rsid w:val="008A2F68"/>
    <w:rsid w:val="008B0644"/>
    <w:rsid w:val="008B4FA6"/>
    <w:rsid w:val="008B5282"/>
    <w:rsid w:val="008B64F2"/>
    <w:rsid w:val="008B750D"/>
    <w:rsid w:val="008B79B4"/>
    <w:rsid w:val="008B79CF"/>
    <w:rsid w:val="008B7C17"/>
    <w:rsid w:val="008C2D01"/>
    <w:rsid w:val="008C33BB"/>
    <w:rsid w:val="008C40E6"/>
    <w:rsid w:val="008C6CF1"/>
    <w:rsid w:val="008C7AC9"/>
    <w:rsid w:val="008D06DC"/>
    <w:rsid w:val="008D0F7A"/>
    <w:rsid w:val="008D1945"/>
    <w:rsid w:val="008D3FA8"/>
    <w:rsid w:val="008D68E4"/>
    <w:rsid w:val="008D721F"/>
    <w:rsid w:val="008D7412"/>
    <w:rsid w:val="008E0506"/>
    <w:rsid w:val="008E0CFF"/>
    <w:rsid w:val="008E0DA4"/>
    <w:rsid w:val="008E1B7C"/>
    <w:rsid w:val="008E5D6B"/>
    <w:rsid w:val="008E6671"/>
    <w:rsid w:val="008E76F0"/>
    <w:rsid w:val="008F15FE"/>
    <w:rsid w:val="008F2D29"/>
    <w:rsid w:val="008F37D6"/>
    <w:rsid w:val="008F44A9"/>
    <w:rsid w:val="008F5187"/>
    <w:rsid w:val="008F60D8"/>
    <w:rsid w:val="008F78BF"/>
    <w:rsid w:val="0090010C"/>
    <w:rsid w:val="00902727"/>
    <w:rsid w:val="0090312B"/>
    <w:rsid w:val="009034B6"/>
    <w:rsid w:val="009133B4"/>
    <w:rsid w:val="0091736D"/>
    <w:rsid w:val="00920A2F"/>
    <w:rsid w:val="00922046"/>
    <w:rsid w:val="0092517D"/>
    <w:rsid w:val="0093037A"/>
    <w:rsid w:val="009306EC"/>
    <w:rsid w:val="009329D6"/>
    <w:rsid w:val="00934095"/>
    <w:rsid w:val="0093473F"/>
    <w:rsid w:val="0094154D"/>
    <w:rsid w:val="00942055"/>
    <w:rsid w:val="00942234"/>
    <w:rsid w:val="00945841"/>
    <w:rsid w:val="00947C33"/>
    <w:rsid w:val="0095155F"/>
    <w:rsid w:val="00951A75"/>
    <w:rsid w:val="009536AB"/>
    <w:rsid w:val="00953D9E"/>
    <w:rsid w:val="00953E42"/>
    <w:rsid w:val="00954429"/>
    <w:rsid w:val="0095544F"/>
    <w:rsid w:val="009563CE"/>
    <w:rsid w:val="00956D77"/>
    <w:rsid w:val="009616C8"/>
    <w:rsid w:val="00962DDF"/>
    <w:rsid w:val="0096372A"/>
    <w:rsid w:val="009658D8"/>
    <w:rsid w:val="00965B75"/>
    <w:rsid w:val="00973D3A"/>
    <w:rsid w:val="00975EEC"/>
    <w:rsid w:val="00976328"/>
    <w:rsid w:val="0097680D"/>
    <w:rsid w:val="0098149A"/>
    <w:rsid w:val="00982386"/>
    <w:rsid w:val="00982438"/>
    <w:rsid w:val="0098404C"/>
    <w:rsid w:val="00985283"/>
    <w:rsid w:val="00986B35"/>
    <w:rsid w:val="0099248D"/>
    <w:rsid w:val="009932A2"/>
    <w:rsid w:val="00993B19"/>
    <w:rsid w:val="00993C31"/>
    <w:rsid w:val="00993DF8"/>
    <w:rsid w:val="00995992"/>
    <w:rsid w:val="00995C8A"/>
    <w:rsid w:val="009A03E5"/>
    <w:rsid w:val="009A0F3B"/>
    <w:rsid w:val="009A1BB4"/>
    <w:rsid w:val="009A2628"/>
    <w:rsid w:val="009A2F0A"/>
    <w:rsid w:val="009A3200"/>
    <w:rsid w:val="009A4DE4"/>
    <w:rsid w:val="009A511D"/>
    <w:rsid w:val="009A5913"/>
    <w:rsid w:val="009A7ED1"/>
    <w:rsid w:val="009B0897"/>
    <w:rsid w:val="009B28BE"/>
    <w:rsid w:val="009B3578"/>
    <w:rsid w:val="009B3E21"/>
    <w:rsid w:val="009B5DC9"/>
    <w:rsid w:val="009B731B"/>
    <w:rsid w:val="009B7BD9"/>
    <w:rsid w:val="009C0215"/>
    <w:rsid w:val="009C0A67"/>
    <w:rsid w:val="009C2E00"/>
    <w:rsid w:val="009C47CF"/>
    <w:rsid w:val="009C6A34"/>
    <w:rsid w:val="009C7DD5"/>
    <w:rsid w:val="009D0361"/>
    <w:rsid w:val="009D0E0C"/>
    <w:rsid w:val="009D1806"/>
    <w:rsid w:val="009D3365"/>
    <w:rsid w:val="009E043B"/>
    <w:rsid w:val="009E227D"/>
    <w:rsid w:val="009E39A7"/>
    <w:rsid w:val="009E5019"/>
    <w:rsid w:val="009E6E67"/>
    <w:rsid w:val="009F0377"/>
    <w:rsid w:val="009F5CC4"/>
    <w:rsid w:val="00A006AF"/>
    <w:rsid w:val="00A02A64"/>
    <w:rsid w:val="00A03529"/>
    <w:rsid w:val="00A04F1B"/>
    <w:rsid w:val="00A0501B"/>
    <w:rsid w:val="00A0575C"/>
    <w:rsid w:val="00A06BD8"/>
    <w:rsid w:val="00A10A39"/>
    <w:rsid w:val="00A10D9A"/>
    <w:rsid w:val="00A14947"/>
    <w:rsid w:val="00A15E14"/>
    <w:rsid w:val="00A16570"/>
    <w:rsid w:val="00A202BE"/>
    <w:rsid w:val="00A20804"/>
    <w:rsid w:val="00A22AA6"/>
    <w:rsid w:val="00A24AB9"/>
    <w:rsid w:val="00A2522B"/>
    <w:rsid w:val="00A2596A"/>
    <w:rsid w:val="00A32A83"/>
    <w:rsid w:val="00A368DB"/>
    <w:rsid w:val="00A41ACC"/>
    <w:rsid w:val="00A423AA"/>
    <w:rsid w:val="00A4766C"/>
    <w:rsid w:val="00A50309"/>
    <w:rsid w:val="00A53EC6"/>
    <w:rsid w:val="00A5445D"/>
    <w:rsid w:val="00A55C0F"/>
    <w:rsid w:val="00A6058A"/>
    <w:rsid w:val="00A61025"/>
    <w:rsid w:val="00A64C71"/>
    <w:rsid w:val="00A6707B"/>
    <w:rsid w:val="00A67467"/>
    <w:rsid w:val="00A67A63"/>
    <w:rsid w:val="00A73E8D"/>
    <w:rsid w:val="00A75400"/>
    <w:rsid w:val="00A807E5"/>
    <w:rsid w:val="00A82573"/>
    <w:rsid w:val="00A8713F"/>
    <w:rsid w:val="00A87A21"/>
    <w:rsid w:val="00A90559"/>
    <w:rsid w:val="00A90BA1"/>
    <w:rsid w:val="00A9239A"/>
    <w:rsid w:val="00A93C4A"/>
    <w:rsid w:val="00A94651"/>
    <w:rsid w:val="00A97A9A"/>
    <w:rsid w:val="00AA0671"/>
    <w:rsid w:val="00AA0A50"/>
    <w:rsid w:val="00AA2531"/>
    <w:rsid w:val="00AA3D7B"/>
    <w:rsid w:val="00AA45FF"/>
    <w:rsid w:val="00AA784F"/>
    <w:rsid w:val="00AB1E09"/>
    <w:rsid w:val="00AB2141"/>
    <w:rsid w:val="00AB3308"/>
    <w:rsid w:val="00AB5330"/>
    <w:rsid w:val="00AB64B5"/>
    <w:rsid w:val="00AB7747"/>
    <w:rsid w:val="00AC0D98"/>
    <w:rsid w:val="00AC14CE"/>
    <w:rsid w:val="00AC1548"/>
    <w:rsid w:val="00AC2A56"/>
    <w:rsid w:val="00AC405F"/>
    <w:rsid w:val="00AC464B"/>
    <w:rsid w:val="00AD055E"/>
    <w:rsid w:val="00AD47A7"/>
    <w:rsid w:val="00AD6C83"/>
    <w:rsid w:val="00AE21E3"/>
    <w:rsid w:val="00AE22ED"/>
    <w:rsid w:val="00AE2632"/>
    <w:rsid w:val="00AE6666"/>
    <w:rsid w:val="00AF048E"/>
    <w:rsid w:val="00AF0CBF"/>
    <w:rsid w:val="00AF257F"/>
    <w:rsid w:val="00AF2F5D"/>
    <w:rsid w:val="00AF33CF"/>
    <w:rsid w:val="00AF4D50"/>
    <w:rsid w:val="00AF6179"/>
    <w:rsid w:val="00B02647"/>
    <w:rsid w:val="00B043E4"/>
    <w:rsid w:val="00B04C80"/>
    <w:rsid w:val="00B056D6"/>
    <w:rsid w:val="00B12769"/>
    <w:rsid w:val="00B1295A"/>
    <w:rsid w:val="00B15BEE"/>
    <w:rsid w:val="00B20A45"/>
    <w:rsid w:val="00B21B79"/>
    <w:rsid w:val="00B22C5C"/>
    <w:rsid w:val="00B241FC"/>
    <w:rsid w:val="00B24F30"/>
    <w:rsid w:val="00B31ABF"/>
    <w:rsid w:val="00B32F7A"/>
    <w:rsid w:val="00B33BE3"/>
    <w:rsid w:val="00B345AF"/>
    <w:rsid w:val="00B35E4F"/>
    <w:rsid w:val="00B362D4"/>
    <w:rsid w:val="00B36708"/>
    <w:rsid w:val="00B400BA"/>
    <w:rsid w:val="00B434B4"/>
    <w:rsid w:val="00B535A0"/>
    <w:rsid w:val="00B53B5D"/>
    <w:rsid w:val="00B6055E"/>
    <w:rsid w:val="00B6317D"/>
    <w:rsid w:val="00B6362B"/>
    <w:rsid w:val="00B728E9"/>
    <w:rsid w:val="00B7723F"/>
    <w:rsid w:val="00B77374"/>
    <w:rsid w:val="00B80534"/>
    <w:rsid w:val="00B8351A"/>
    <w:rsid w:val="00B836E1"/>
    <w:rsid w:val="00B8433C"/>
    <w:rsid w:val="00B87491"/>
    <w:rsid w:val="00B95CE8"/>
    <w:rsid w:val="00B97AA8"/>
    <w:rsid w:val="00BA054B"/>
    <w:rsid w:val="00BA0FE8"/>
    <w:rsid w:val="00BA29E9"/>
    <w:rsid w:val="00BA48B8"/>
    <w:rsid w:val="00BA61F2"/>
    <w:rsid w:val="00BA7142"/>
    <w:rsid w:val="00BB0A79"/>
    <w:rsid w:val="00BB237C"/>
    <w:rsid w:val="00BB41A3"/>
    <w:rsid w:val="00BB6C29"/>
    <w:rsid w:val="00BC1076"/>
    <w:rsid w:val="00BC31C6"/>
    <w:rsid w:val="00BC32DC"/>
    <w:rsid w:val="00BC35B6"/>
    <w:rsid w:val="00BC4807"/>
    <w:rsid w:val="00BD1B51"/>
    <w:rsid w:val="00BD3E2B"/>
    <w:rsid w:val="00BD4396"/>
    <w:rsid w:val="00BD4596"/>
    <w:rsid w:val="00BD55C1"/>
    <w:rsid w:val="00BD6F2F"/>
    <w:rsid w:val="00BE1405"/>
    <w:rsid w:val="00BE312D"/>
    <w:rsid w:val="00BE4CED"/>
    <w:rsid w:val="00BE64C5"/>
    <w:rsid w:val="00BF0BE9"/>
    <w:rsid w:val="00BF1939"/>
    <w:rsid w:val="00BF1C20"/>
    <w:rsid w:val="00BF47BA"/>
    <w:rsid w:val="00BF6E36"/>
    <w:rsid w:val="00BF7E4C"/>
    <w:rsid w:val="00C00441"/>
    <w:rsid w:val="00C05238"/>
    <w:rsid w:val="00C054AE"/>
    <w:rsid w:val="00C0761D"/>
    <w:rsid w:val="00C07F05"/>
    <w:rsid w:val="00C10578"/>
    <w:rsid w:val="00C11EA8"/>
    <w:rsid w:val="00C128B8"/>
    <w:rsid w:val="00C135BC"/>
    <w:rsid w:val="00C155E9"/>
    <w:rsid w:val="00C15C95"/>
    <w:rsid w:val="00C200E3"/>
    <w:rsid w:val="00C2084D"/>
    <w:rsid w:val="00C22318"/>
    <w:rsid w:val="00C2596A"/>
    <w:rsid w:val="00C2619C"/>
    <w:rsid w:val="00C265A2"/>
    <w:rsid w:val="00C27537"/>
    <w:rsid w:val="00C328FE"/>
    <w:rsid w:val="00C32EFF"/>
    <w:rsid w:val="00C33507"/>
    <w:rsid w:val="00C365FA"/>
    <w:rsid w:val="00C36E57"/>
    <w:rsid w:val="00C37DED"/>
    <w:rsid w:val="00C4409D"/>
    <w:rsid w:val="00C44998"/>
    <w:rsid w:val="00C44E72"/>
    <w:rsid w:val="00C45A06"/>
    <w:rsid w:val="00C46965"/>
    <w:rsid w:val="00C47E5B"/>
    <w:rsid w:val="00C47F19"/>
    <w:rsid w:val="00C5335E"/>
    <w:rsid w:val="00C61E4B"/>
    <w:rsid w:val="00C63A51"/>
    <w:rsid w:val="00C64BFF"/>
    <w:rsid w:val="00C65A56"/>
    <w:rsid w:val="00C65D82"/>
    <w:rsid w:val="00C6645F"/>
    <w:rsid w:val="00C704E9"/>
    <w:rsid w:val="00C71D46"/>
    <w:rsid w:val="00C71EFB"/>
    <w:rsid w:val="00C739E1"/>
    <w:rsid w:val="00C763C9"/>
    <w:rsid w:val="00C77387"/>
    <w:rsid w:val="00C80057"/>
    <w:rsid w:val="00C82232"/>
    <w:rsid w:val="00C82913"/>
    <w:rsid w:val="00C84BA9"/>
    <w:rsid w:val="00C86C2E"/>
    <w:rsid w:val="00C87D96"/>
    <w:rsid w:val="00C91BC5"/>
    <w:rsid w:val="00C95B02"/>
    <w:rsid w:val="00C972B1"/>
    <w:rsid w:val="00CA0E8E"/>
    <w:rsid w:val="00CA1D1B"/>
    <w:rsid w:val="00CA2CCE"/>
    <w:rsid w:val="00CA389B"/>
    <w:rsid w:val="00CA43FD"/>
    <w:rsid w:val="00CA5B68"/>
    <w:rsid w:val="00CA7ED0"/>
    <w:rsid w:val="00CA7EF8"/>
    <w:rsid w:val="00CB0515"/>
    <w:rsid w:val="00CB4240"/>
    <w:rsid w:val="00CB49E2"/>
    <w:rsid w:val="00CB543D"/>
    <w:rsid w:val="00CC1466"/>
    <w:rsid w:val="00CC3859"/>
    <w:rsid w:val="00CC489B"/>
    <w:rsid w:val="00CD01F6"/>
    <w:rsid w:val="00CD211D"/>
    <w:rsid w:val="00CD27BF"/>
    <w:rsid w:val="00CD2BCD"/>
    <w:rsid w:val="00CD3A4C"/>
    <w:rsid w:val="00CD55BE"/>
    <w:rsid w:val="00CD7550"/>
    <w:rsid w:val="00CD7661"/>
    <w:rsid w:val="00CD7890"/>
    <w:rsid w:val="00CE0B8D"/>
    <w:rsid w:val="00CE10E9"/>
    <w:rsid w:val="00CE1E29"/>
    <w:rsid w:val="00CE2910"/>
    <w:rsid w:val="00CE5393"/>
    <w:rsid w:val="00CE56E0"/>
    <w:rsid w:val="00CE64AC"/>
    <w:rsid w:val="00CF0795"/>
    <w:rsid w:val="00CF36BE"/>
    <w:rsid w:val="00CF4CA2"/>
    <w:rsid w:val="00CF6000"/>
    <w:rsid w:val="00CF616F"/>
    <w:rsid w:val="00CF7753"/>
    <w:rsid w:val="00D00389"/>
    <w:rsid w:val="00D003F3"/>
    <w:rsid w:val="00D02304"/>
    <w:rsid w:val="00D0364F"/>
    <w:rsid w:val="00D040A7"/>
    <w:rsid w:val="00D0539F"/>
    <w:rsid w:val="00D06834"/>
    <w:rsid w:val="00D10379"/>
    <w:rsid w:val="00D11BFB"/>
    <w:rsid w:val="00D15CA1"/>
    <w:rsid w:val="00D20C92"/>
    <w:rsid w:val="00D2480B"/>
    <w:rsid w:val="00D251FB"/>
    <w:rsid w:val="00D308ED"/>
    <w:rsid w:val="00D318A4"/>
    <w:rsid w:val="00D34F7F"/>
    <w:rsid w:val="00D36D86"/>
    <w:rsid w:val="00D37D0F"/>
    <w:rsid w:val="00D42049"/>
    <w:rsid w:val="00D428AA"/>
    <w:rsid w:val="00D44391"/>
    <w:rsid w:val="00D45408"/>
    <w:rsid w:val="00D45F53"/>
    <w:rsid w:val="00D50A34"/>
    <w:rsid w:val="00D52610"/>
    <w:rsid w:val="00D52F81"/>
    <w:rsid w:val="00D53EFA"/>
    <w:rsid w:val="00D566B8"/>
    <w:rsid w:val="00D62A7E"/>
    <w:rsid w:val="00D64F33"/>
    <w:rsid w:val="00D66AF0"/>
    <w:rsid w:val="00D72149"/>
    <w:rsid w:val="00D77B1D"/>
    <w:rsid w:val="00D80DA4"/>
    <w:rsid w:val="00D8448C"/>
    <w:rsid w:val="00D84FEA"/>
    <w:rsid w:val="00D8538A"/>
    <w:rsid w:val="00D86021"/>
    <w:rsid w:val="00D917A4"/>
    <w:rsid w:val="00D93735"/>
    <w:rsid w:val="00D94A7C"/>
    <w:rsid w:val="00D95896"/>
    <w:rsid w:val="00D973F2"/>
    <w:rsid w:val="00DA3167"/>
    <w:rsid w:val="00DA5B07"/>
    <w:rsid w:val="00DB1F08"/>
    <w:rsid w:val="00DB2167"/>
    <w:rsid w:val="00DB2983"/>
    <w:rsid w:val="00DB6467"/>
    <w:rsid w:val="00DC080F"/>
    <w:rsid w:val="00DC08FA"/>
    <w:rsid w:val="00DC0A95"/>
    <w:rsid w:val="00DC11F2"/>
    <w:rsid w:val="00DC1257"/>
    <w:rsid w:val="00DC3DC0"/>
    <w:rsid w:val="00DC45C8"/>
    <w:rsid w:val="00DC5B2B"/>
    <w:rsid w:val="00DC70AF"/>
    <w:rsid w:val="00DC7D27"/>
    <w:rsid w:val="00DD012D"/>
    <w:rsid w:val="00DD0A98"/>
    <w:rsid w:val="00DD2A59"/>
    <w:rsid w:val="00DD30FA"/>
    <w:rsid w:val="00DD318D"/>
    <w:rsid w:val="00DD72CD"/>
    <w:rsid w:val="00DE375F"/>
    <w:rsid w:val="00DE5DA4"/>
    <w:rsid w:val="00DE7775"/>
    <w:rsid w:val="00DF1EA4"/>
    <w:rsid w:val="00DF2E12"/>
    <w:rsid w:val="00DF32AA"/>
    <w:rsid w:val="00DF514A"/>
    <w:rsid w:val="00DF5E2A"/>
    <w:rsid w:val="00DF6690"/>
    <w:rsid w:val="00DF6804"/>
    <w:rsid w:val="00E00649"/>
    <w:rsid w:val="00E023FF"/>
    <w:rsid w:val="00E0358D"/>
    <w:rsid w:val="00E04323"/>
    <w:rsid w:val="00E04361"/>
    <w:rsid w:val="00E05804"/>
    <w:rsid w:val="00E070A2"/>
    <w:rsid w:val="00E10E63"/>
    <w:rsid w:val="00E11AC5"/>
    <w:rsid w:val="00E12358"/>
    <w:rsid w:val="00E138D9"/>
    <w:rsid w:val="00E1444C"/>
    <w:rsid w:val="00E1520D"/>
    <w:rsid w:val="00E1595B"/>
    <w:rsid w:val="00E2306E"/>
    <w:rsid w:val="00E2656A"/>
    <w:rsid w:val="00E279D9"/>
    <w:rsid w:val="00E35CE9"/>
    <w:rsid w:val="00E36D6B"/>
    <w:rsid w:val="00E412D0"/>
    <w:rsid w:val="00E47F35"/>
    <w:rsid w:val="00E53B35"/>
    <w:rsid w:val="00E5447B"/>
    <w:rsid w:val="00E55A38"/>
    <w:rsid w:val="00E56322"/>
    <w:rsid w:val="00E57737"/>
    <w:rsid w:val="00E6026C"/>
    <w:rsid w:val="00E60982"/>
    <w:rsid w:val="00E62C62"/>
    <w:rsid w:val="00E653BA"/>
    <w:rsid w:val="00E654C1"/>
    <w:rsid w:val="00E65D97"/>
    <w:rsid w:val="00E66FA2"/>
    <w:rsid w:val="00E70D65"/>
    <w:rsid w:val="00E724B8"/>
    <w:rsid w:val="00E72A5A"/>
    <w:rsid w:val="00E73354"/>
    <w:rsid w:val="00E75382"/>
    <w:rsid w:val="00E7733D"/>
    <w:rsid w:val="00E80DEC"/>
    <w:rsid w:val="00E85023"/>
    <w:rsid w:val="00E85335"/>
    <w:rsid w:val="00E87A66"/>
    <w:rsid w:val="00E92148"/>
    <w:rsid w:val="00E9242D"/>
    <w:rsid w:val="00E9296F"/>
    <w:rsid w:val="00E971A2"/>
    <w:rsid w:val="00EA0383"/>
    <w:rsid w:val="00EA0744"/>
    <w:rsid w:val="00EA3756"/>
    <w:rsid w:val="00EA5F76"/>
    <w:rsid w:val="00EB156A"/>
    <w:rsid w:val="00EB3BB1"/>
    <w:rsid w:val="00EB5255"/>
    <w:rsid w:val="00EB59D6"/>
    <w:rsid w:val="00EB5C47"/>
    <w:rsid w:val="00EB72F2"/>
    <w:rsid w:val="00EB7A55"/>
    <w:rsid w:val="00EC1572"/>
    <w:rsid w:val="00EC1BA7"/>
    <w:rsid w:val="00EC26AA"/>
    <w:rsid w:val="00EC48F0"/>
    <w:rsid w:val="00ED0639"/>
    <w:rsid w:val="00ED0D2F"/>
    <w:rsid w:val="00ED3742"/>
    <w:rsid w:val="00ED42CD"/>
    <w:rsid w:val="00ED727A"/>
    <w:rsid w:val="00EE1431"/>
    <w:rsid w:val="00EE1A79"/>
    <w:rsid w:val="00EE2267"/>
    <w:rsid w:val="00EE7AE7"/>
    <w:rsid w:val="00EF4755"/>
    <w:rsid w:val="00EF5CC5"/>
    <w:rsid w:val="00EF7135"/>
    <w:rsid w:val="00F019A5"/>
    <w:rsid w:val="00F027DB"/>
    <w:rsid w:val="00F03EE4"/>
    <w:rsid w:val="00F0489C"/>
    <w:rsid w:val="00F05BC8"/>
    <w:rsid w:val="00F12EFE"/>
    <w:rsid w:val="00F14A5D"/>
    <w:rsid w:val="00F14A7A"/>
    <w:rsid w:val="00F1624F"/>
    <w:rsid w:val="00F17115"/>
    <w:rsid w:val="00F218D3"/>
    <w:rsid w:val="00F22985"/>
    <w:rsid w:val="00F242E5"/>
    <w:rsid w:val="00F269E0"/>
    <w:rsid w:val="00F30109"/>
    <w:rsid w:val="00F31627"/>
    <w:rsid w:val="00F3383E"/>
    <w:rsid w:val="00F41720"/>
    <w:rsid w:val="00F41C9E"/>
    <w:rsid w:val="00F42E60"/>
    <w:rsid w:val="00F43CB2"/>
    <w:rsid w:val="00F45F54"/>
    <w:rsid w:val="00F465A7"/>
    <w:rsid w:val="00F50B7C"/>
    <w:rsid w:val="00F50E8F"/>
    <w:rsid w:val="00F550E6"/>
    <w:rsid w:val="00F554C9"/>
    <w:rsid w:val="00F6172D"/>
    <w:rsid w:val="00F61745"/>
    <w:rsid w:val="00F61C1E"/>
    <w:rsid w:val="00F62505"/>
    <w:rsid w:val="00F62668"/>
    <w:rsid w:val="00F63578"/>
    <w:rsid w:val="00F64F98"/>
    <w:rsid w:val="00F662B2"/>
    <w:rsid w:val="00F73708"/>
    <w:rsid w:val="00F74345"/>
    <w:rsid w:val="00F74E2D"/>
    <w:rsid w:val="00F80A0A"/>
    <w:rsid w:val="00F82B19"/>
    <w:rsid w:val="00F869BB"/>
    <w:rsid w:val="00F8717C"/>
    <w:rsid w:val="00F9036D"/>
    <w:rsid w:val="00F9212D"/>
    <w:rsid w:val="00F92B0A"/>
    <w:rsid w:val="00F96410"/>
    <w:rsid w:val="00F965DA"/>
    <w:rsid w:val="00FA00E1"/>
    <w:rsid w:val="00FA127E"/>
    <w:rsid w:val="00FA406A"/>
    <w:rsid w:val="00FB1520"/>
    <w:rsid w:val="00FB2B58"/>
    <w:rsid w:val="00FB3BB0"/>
    <w:rsid w:val="00FB4942"/>
    <w:rsid w:val="00FB503A"/>
    <w:rsid w:val="00FB516C"/>
    <w:rsid w:val="00FC0460"/>
    <w:rsid w:val="00FC1F07"/>
    <w:rsid w:val="00FC3F0C"/>
    <w:rsid w:val="00FC46A5"/>
    <w:rsid w:val="00FC76E7"/>
    <w:rsid w:val="00FC79ED"/>
    <w:rsid w:val="00FD0236"/>
    <w:rsid w:val="00FD063D"/>
    <w:rsid w:val="00FD18F4"/>
    <w:rsid w:val="00FD2D7F"/>
    <w:rsid w:val="00FD54DB"/>
    <w:rsid w:val="00FD619F"/>
    <w:rsid w:val="00FE108F"/>
    <w:rsid w:val="00FE3044"/>
    <w:rsid w:val="00FE4749"/>
    <w:rsid w:val="00FE5A20"/>
    <w:rsid w:val="00FF0498"/>
    <w:rsid w:val="00FF3C9F"/>
    <w:rsid w:val="00FF5429"/>
    <w:rsid w:val="00FF6F48"/>
    <w:rsid w:val="01290F7E"/>
    <w:rsid w:val="015636F1"/>
    <w:rsid w:val="015D1E09"/>
    <w:rsid w:val="01751DA9"/>
    <w:rsid w:val="01CE371A"/>
    <w:rsid w:val="02697903"/>
    <w:rsid w:val="02703D1E"/>
    <w:rsid w:val="02B2301E"/>
    <w:rsid w:val="02BC3E23"/>
    <w:rsid w:val="02E05220"/>
    <w:rsid w:val="02E46F43"/>
    <w:rsid w:val="02F96569"/>
    <w:rsid w:val="03EA7B21"/>
    <w:rsid w:val="0469353C"/>
    <w:rsid w:val="047812DF"/>
    <w:rsid w:val="050567C6"/>
    <w:rsid w:val="05106A88"/>
    <w:rsid w:val="056B6A86"/>
    <w:rsid w:val="05717F2A"/>
    <w:rsid w:val="05795739"/>
    <w:rsid w:val="058C5B1C"/>
    <w:rsid w:val="05B53D1B"/>
    <w:rsid w:val="05F83EAE"/>
    <w:rsid w:val="060E148B"/>
    <w:rsid w:val="063E7D85"/>
    <w:rsid w:val="06D122A4"/>
    <w:rsid w:val="07293586"/>
    <w:rsid w:val="07295285"/>
    <w:rsid w:val="07636392"/>
    <w:rsid w:val="07770C56"/>
    <w:rsid w:val="077C7C9F"/>
    <w:rsid w:val="07F35238"/>
    <w:rsid w:val="08363EDB"/>
    <w:rsid w:val="08E34079"/>
    <w:rsid w:val="092217DD"/>
    <w:rsid w:val="093A7294"/>
    <w:rsid w:val="09527008"/>
    <w:rsid w:val="09796868"/>
    <w:rsid w:val="09D71874"/>
    <w:rsid w:val="0A263993"/>
    <w:rsid w:val="0A2D3AC2"/>
    <w:rsid w:val="0A4150EF"/>
    <w:rsid w:val="0A8C1507"/>
    <w:rsid w:val="0AA755DF"/>
    <w:rsid w:val="0AE053B9"/>
    <w:rsid w:val="0B120D44"/>
    <w:rsid w:val="0BB947CE"/>
    <w:rsid w:val="0BC55C03"/>
    <w:rsid w:val="0BD27BF6"/>
    <w:rsid w:val="0C3B3C7D"/>
    <w:rsid w:val="0C634F19"/>
    <w:rsid w:val="0CAB2EAE"/>
    <w:rsid w:val="0CD0041B"/>
    <w:rsid w:val="0D260FFB"/>
    <w:rsid w:val="0D621C7D"/>
    <w:rsid w:val="0DB44CFC"/>
    <w:rsid w:val="0DCE354B"/>
    <w:rsid w:val="0DF63421"/>
    <w:rsid w:val="0E33004A"/>
    <w:rsid w:val="0E73034D"/>
    <w:rsid w:val="0F13775A"/>
    <w:rsid w:val="0F5F45FE"/>
    <w:rsid w:val="0F9A112B"/>
    <w:rsid w:val="0FAE50B7"/>
    <w:rsid w:val="106D2F64"/>
    <w:rsid w:val="10B37C39"/>
    <w:rsid w:val="10B63710"/>
    <w:rsid w:val="10CA1B09"/>
    <w:rsid w:val="10CA4F2D"/>
    <w:rsid w:val="10F10820"/>
    <w:rsid w:val="111C2F7A"/>
    <w:rsid w:val="11665CA1"/>
    <w:rsid w:val="11B401B9"/>
    <w:rsid w:val="123C6974"/>
    <w:rsid w:val="129E739C"/>
    <w:rsid w:val="12AA6588"/>
    <w:rsid w:val="131A65B4"/>
    <w:rsid w:val="13951726"/>
    <w:rsid w:val="141C68F7"/>
    <w:rsid w:val="14396509"/>
    <w:rsid w:val="14DD2C3C"/>
    <w:rsid w:val="16071168"/>
    <w:rsid w:val="16087E1D"/>
    <w:rsid w:val="16B21A8B"/>
    <w:rsid w:val="17414C5E"/>
    <w:rsid w:val="17701D14"/>
    <w:rsid w:val="17735226"/>
    <w:rsid w:val="185903FE"/>
    <w:rsid w:val="189F624C"/>
    <w:rsid w:val="18BA2629"/>
    <w:rsid w:val="18F50654"/>
    <w:rsid w:val="19843277"/>
    <w:rsid w:val="1A1C66C0"/>
    <w:rsid w:val="1A42393B"/>
    <w:rsid w:val="1A721C69"/>
    <w:rsid w:val="1AAD45DE"/>
    <w:rsid w:val="1B046F80"/>
    <w:rsid w:val="1B2B6C19"/>
    <w:rsid w:val="1B3267B5"/>
    <w:rsid w:val="1B40161D"/>
    <w:rsid w:val="1B441859"/>
    <w:rsid w:val="1B6606B1"/>
    <w:rsid w:val="1B685250"/>
    <w:rsid w:val="1C4C4E7F"/>
    <w:rsid w:val="1C5E7925"/>
    <w:rsid w:val="1CFD070F"/>
    <w:rsid w:val="1D5F6196"/>
    <w:rsid w:val="1D6132A5"/>
    <w:rsid w:val="1D7C082C"/>
    <w:rsid w:val="1D843435"/>
    <w:rsid w:val="1D8E56D5"/>
    <w:rsid w:val="1E7A43DA"/>
    <w:rsid w:val="1FBD7540"/>
    <w:rsid w:val="1FE7539E"/>
    <w:rsid w:val="1FFF3360"/>
    <w:rsid w:val="20671BE0"/>
    <w:rsid w:val="20963CB8"/>
    <w:rsid w:val="20A81A1B"/>
    <w:rsid w:val="20B07FB6"/>
    <w:rsid w:val="20B646FB"/>
    <w:rsid w:val="20DF0D27"/>
    <w:rsid w:val="213B74B1"/>
    <w:rsid w:val="215A2310"/>
    <w:rsid w:val="2169249A"/>
    <w:rsid w:val="21D157F2"/>
    <w:rsid w:val="21DE318A"/>
    <w:rsid w:val="21EF5B80"/>
    <w:rsid w:val="220B2EF0"/>
    <w:rsid w:val="220F4E63"/>
    <w:rsid w:val="22576990"/>
    <w:rsid w:val="22F47480"/>
    <w:rsid w:val="2348618A"/>
    <w:rsid w:val="23631AC5"/>
    <w:rsid w:val="23AD4FF0"/>
    <w:rsid w:val="23DE1C48"/>
    <w:rsid w:val="240210CD"/>
    <w:rsid w:val="24106603"/>
    <w:rsid w:val="24AE1DC4"/>
    <w:rsid w:val="24BF09F7"/>
    <w:rsid w:val="252A1858"/>
    <w:rsid w:val="252D53FE"/>
    <w:rsid w:val="255079D8"/>
    <w:rsid w:val="25512329"/>
    <w:rsid w:val="25944356"/>
    <w:rsid w:val="25C523B1"/>
    <w:rsid w:val="25EC2D81"/>
    <w:rsid w:val="271731FB"/>
    <w:rsid w:val="27516B7E"/>
    <w:rsid w:val="276E54C6"/>
    <w:rsid w:val="277057A2"/>
    <w:rsid w:val="281F5E60"/>
    <w:rsid w:val="28A35574"/>
    <w:rsid w:val="28CB584C"/>
    <w:rsid w:val="290455D1"/>
    <w:rsid w:val="29206EB8"/>
    <w:rsid w:val="292A1FDC"/>
    <w:rsid w:val="29595666"/>
    <w:rsid w:val="29874881"/>
    <w:rsid w:val="29BA07C8"/>
    <w:rsid w:val="29BC772B"/>
    <w:rsid w:val="29E325E0"/>
    <w:rsid w:val="2A244745"/>
    <w:rsid w:val="2A254A2D"/>
    <w:rsid w:val="2A452503"/>
    <w:rsid w:val="2B391017"/>
    <w:rsid w:val="2B465D27"/>
    <w:rsid w:val="2BA936A8"/>
    <w:rsid w:val="2C315A5A"/>
    <w:rsid w:val="2C4B1C25"/>
    <w:rsid w:val="2CB0612C"/>
    <w:rsid w:val="2D3F3077"/>
    <w:rsid w:val="2D4D6FBA"/>
    <w:rsid w:val="2D6B65C3"/>
    <w:rsid w:val="2D9E56F5"/>
    <w:rsid w:val="2DFA3E38"/>
    <w:rsid w:val="2E115E09"/>
    <w:rsid w:val="2E667F96"/>
    <w:rsid w:val="2E7C30C7"/>
    <w:rsid w:val="2E8226AB"/>
    <w:rsid w:val="2F066E8D"/>
    <w:rsid w:val="2FD065E6"/>
    <w:rsid w:val="2FD96870"/>
    <w:rsid w:val="3000601A"/>
    <w:rsid w:val="30172290"/>
    <w:rsid w:val="30580BC9"/>
    <w:rsid w:val="30B74423"/>
    <w:rsid w:val="30B815F1"/>
    <w:rsid w:val="311E2ED7"/>
    <w:rsid w:val="31482E71"/>
    <w:rsid w:val="315619EE"/>
    <w:rsid w:val="315C449C"/>
    <w:rsid w:val="31B82709"/>
    <w:rsid w:val="31D05482"/>
    <w:rsid w:val="32400B34"/>
    <w:rsid w:val="328026C4"/>
    <w:rsid w:val="32897621"/>
    <w:rsid w:val="329E6876"/>
    <w:rsid w:val="333015F2"/>
    <w:rsid w:val="333A6EAD"/>
    <w:rsid w:val="334B6320"/>
    <w:rsid w:val="334F68E7"/>
    <w:rsid w:val="335C5BE7"/>
    <w:rsid w:val="33832457"/>
    <w:rsid w:val="339B550F"/>
    <w:rsid w:val="33D934D4"/>
    <w:rsid w:val="33DD6186"/>
    <w:rsid w:val="33FE2F6A"/>
    <w:rsid w:val="340E07E5"/>
    <w:rsid w:val="34235BF7"/>
    <w:rsid w:val="35003338"/>
    <w:rsid w:val="355E0E41"/>
    <w:rsid w:val="358C5FA8"/>
    <w:rsid w:val="35C15DF1"/>
    <w:rsid w:val="36074A7F"/>
    <w:rsid w:val="36923549"/>
    <w:rsid w:val="36B75FBF"/>
    <w:rsid w:val="36BD0C45"/>
    <w:rsid w:val="370A24EB"/>
    <w:rsid w:val="371B3070"/>
    <w:rsid w:val="37E00298"/>
    <w:rsid w:val="38010279"/>
    <w:rsid w:val="385C5EB7"/>
    <w:rsid w:val="38B302F9"/>
    <w:rsid w:val="38F12CD3"/>
    <w:rsid w:val="38F94775"/>
    <w:rsid w:val="39181B36"/>
    <w:rsid w:val="392971ED"/>
    <w:rsid w:val="39325651"/>
    <w:rsid w:val="397B22F8"/>
    <w:rsid w:val="39AE37C8"/>
    <w:rsid w:val="39C238AC"/>
    <w:rsid w:val="39F45BC4"/>
    <w:rsid w:val="3A084496"/>
    <w:rsid w:val="3A872856"/>
    <w:rsid w:val="3ABF6A65"/>
    <w:rsid w:val="3AFF29D1"/>
    <w:rsid w:val="3B3763D1"/>
    <w:rsid w:val="3BF6060F"/>
    <w:rsid w:val="3C2435BD"/>
    <w:rsid w:val="3C2F6E1E"/>
    <w:rsid w:val="3C4F64BA"/>
    <w:rsid w:val="3CDA245A"/>
    <w:rsid w:val="3D1E06B7"/>
    <w:rsid w:val="3D90257E"/>
    <w:rsid w:val="3E236382"/>
    <w:rsid w:val="3E8C4C84"/>
    <w:rsid w:val="3EB54202"/>
    <w:rsid w:val="3EDA0523"/>
    <w:rsid w:val="3FFF6CC1"/>
    <w:rsid w:val="407A6407"/>
    <w:rsid w:val="40C472BD"/>
    <w:rsid w:val="41287763"/>
    <w:rsid w:val="418B585F"/>
    <w:rsid w:val="4200449D"/>
    <w:rsid w:val="423A3BCC"/>
    <w:rsid w:val="424E57D2"/>
    <w:rsid w:val="42B26C49"/>
    <w:rsid w:val="42C20F92"/>
    <w:rsid w:val="42DA7673"/>
    <w:rsid w:val="433A6FE6"/>
    <w:rsid w:val="43480868"/>
    <w:rsid w:val="4350713C"/>
    <w:rsid w:val="436653E0"/>
    <w:rsid w:val="43950E6B"/>
    <w:rsid w:val="43A1475B"/>
    <w:rsid w:val="43C4431A"/>
    <w:rsid w:val="43E95571"/>
    <w:rsid w:val="443675DB"/>
    <w:rsid w:val="443F77A8"/>
    <w:rsid w:val="447569A6"/>
    <w:rsid w:val="4478471D"/>
    <w:rsid w:val="44B951CC"/>
    <w:rsid w:val="44CD14E0"/>
    <w:rsid w:val="44F20B0B"/>
    <w:rsid w:val="452E5F4C"/>
    <w:rsid w:val="45402C03"/>
    <w:rsid w:val="45525D97"/>
    <w:rsid w:val="45612018"/>
    <w:rsid w:val="457B5766"/>
    <w:rsid w:val="458946E9"/>
    <w:rsid w:val="45A47C0E"/>
    <w:rsid w:val="45AE6B02"/>
    <w:rsid w:val="45BB309A"/>
    <w:rsid w:val="45E556D2"/>
    <w:rsid w:val="45FD63CB"/>
    <w:rsid w:val="46577FD6"/>
    <w:rsid w:val="46D955A7"/>
    <w:rsid w:val="47133957"/>
    <w:rsid w:val="475B1EAA"/>
    <w:rsid w:val="47A07E0C"/>
    <w:rsid w:val="47B7053E"/>
    <w:rsid w:val="47B94C2B"/>
    <w:rsid w:val="484C3C21"/>
    <w:rsid w:val="4870272E"/>
    <w:rsid w:val="49157F15"/>
    <w:rsid w:val="4953431B"/>
    <w:rsid w:val="497F7488"/>
    <w:rsid w:val="49DC7715"/>
    <w:rsid w:val="49DD534D"/>
    <w:rsid w:val="4A023139"/>
    <w:rsid w:val="4A7B576F"/>
    <w:rsid w:val="4AF561A9"/>
    <w:rsid w:val="4B20566C"/>
    <w:rsid w:val="4B8830A9"/>
    <w:rsid w:val="4C341A2C"/>
    <w:rsid w:val="4C4A0649"/>
    <w:rsid w:val="4C7E5ECA"/>
    <w:rsid w:val="4C876AA5"/>
    <w:rsid w:val="4CB7235B"/>
    <w:rsid w:val="4CB94450"/>
    <w:rsid w:val="4D0E00FB"/>
    <w:rsid w:val="4D176606"/>
    <w:rsid w:val="4D185156"/>
    <w:rsid w:val="4D7C3C8C"/>
    <w:rsid w:val="4DA15C10"/>
    <w:rsid w:val="4DEC4FB0"/>
    <w:rsid w:val="4DEC51D1"/>
    <w:rsid w:val="4E075D8A"/>
    <w:rsid w:val="4EC00FAD"/>
    <w:rsid w:val="4EC27274"/>
    <w:rsid w:val="4EDD4A26"/>
    <w:rsid w:val="4F9843DC"/>
    <w:rsid w:val="4FC62A8C"/>
    <w:rsid w:val="4FE20F0D"/>
    <w:rsid w:val="4FE51552"/>
    <w:rsid w:val="50504C4B"/>
    <w:rsid w:val="505C1FB7"/>
    <w:rsid w:val="509107CA"/>
    <w:rsid w:val="509C6E7C"/>
    <w:rsid w:val="50CA5DAA"/>
    <w:rsid w:val="50F05DCB"/>
    <w:rsid w:val="51542ED5"/>
    <w:rsid w:val="5162104E"/>
    <w:rsid w:val="52884404"/>
    <w:rsid w:val="53A039CC"/>
    <w:rsid w:val="53A1505A"/>
    <w:rsid w:val="53FC62CC"/>
    <w:rsid w:val="54063E08"/>
    <w:rsid w:val="541B5414"/>
    <w:rsid w:val="54200D19"/>
    <w:rsid w:val="543437E8"/>
    <w:rsid w:val="54F73313"/>
    <w:rsid w:val="54F80955"/>
    <w:rsid w:val="550C5ED0"/>
    <w:rsid w:val="553A3959"/>
    <w:rsid w:val="555170A7"/>
    <w:rsid w:val="5587536D"/>
    <w:rsid w:val="559B174B"/>
    <w:rsid w:val="55CE0CF4"/>
    <w:rsid w:val="55EF239C"/>
    <w:rsid w:val="565C6BA7"/>
    <w:rsid w:val="56B22A9C"/>
    <w:rsid w:val="56B53BA9"/>
    <w:rsid w:val="573F53D3"/>
    <w:rsid w:val="57697EAB"/>
    <w:rsid w:val="57A2428B"/>
    <w:rsid w:val="57B72A76"/>
    <w:rsid w:val="57C3426C"/>
    <w:rsid w:val="57CE1F93"/>
    <w:rsid w:val="586D5F15"/>
    <w:rsid w:val="588743D1"/>
    <w:rsid w:val="5887701A"/>
    <w:rsid w:val="591F558B"/>
    <w:rsid w:val="59941A10"/>
    <w:rsid w:val="59C0439F"/>
    <w:rsid w:val="5A016A02"/>
    <w:rsid w:val="5ABE2233"/>
    <w:rsid w:val="5AD60719"/>
    <w:rsid w:val="5B0F7395"/>
    <w:rsid w:val="5B132AEB"/>
    <w:rsid w:val="5B545AB6"/>
    <w:rsid w:val="5B6D1A0B"/>
    <w:rsid w:val="5BDF5D95"/>
    <w:rsid w:val="5BFE7528"/>
    <w:rsid w:val="5CD47117"/>
    <w:rsid w:val="5CE54066"/>
    <w:rsid w:val="5D3C3120"/>
    <w:rsid w:val="5D3E33DD"/>
    <w:rsid w:val="5D787F2D"/>
    <w:rsid w:val="5E2467F1"/>
    <w:rsid w:val="5F1A2B43"/>
    <w:rsid w:val="5FB837BB"/>
    <w:rsid w:val="60076B09"/>
    <w:rsid w:val="601514DE"/>
    <w:rsid w:val="60CC405A"/>
    <w:rsid w:val="60FA0994"/>
    <w:rsid w:val="611F1E60"/>
    <w:rsid w:val="618F1D6F"/>
    <w:rsid w:val="61E215D8"/>
    <w:rsid w:val="621B3775"/>
    <w:rsid w:val="62364782"/>
    <w:rsid w:val="623B742A"/>
    <w:rsid w:val="6265170F"/>
    <w:rsid w:val="62AE1B73"/>
    <w:rsid w:val="62BC15B7"/>
    <w:rsid w:val="630F5854"/>
    <w:rsid w:val="6377161C"/>
    <w:rsid w:val="6394356A"/>
    <w:rsid w:val="63C61B2C"/>
    <w:rsid w:val="63D40BE9"/>
    <w:rsid w:val="64102431"/>
    <w:rsid w:val="64572DF2"/>
    <w:rsid w:val="64A5243A"/>
    <w:rsid w:val="64F531DE"/>
    <w:rsid w:val="6530672D"/>
    <w:rsid w:val="65373578"/>
    <w:rsid w:val="65452156"/>
    <w:rsid w:val="658E40D1"/>
    <w:rsid w:val="65C41A6F"/>
    <w:rsid w:val="66400942"/>
    <w:rsid w:val="66D031C3"/>
    <w:rsid w:val="66DE0605"/>
    <w:rsid w:val="66E85197"/>
    <w:rsid w:val="66F55283"/>
    <w:rsid w:val="671F124A"/>
    <w:rsid w:val="67677329"/>
    <w:rsid w:val="677A33C6"/>
    <w:rsid w:val="678241F6"/>
    <w:rsid w:val="67BB08B2"/>
    <w:rsid w:val="681F6961"/>
    <w:rsid w:val="68610A2F"/>
    <w:rsid w:val="68805514"/>
    <w:rsid w:val="68C579F9"/>
    <w:rsid w:val="69316E2F"/>
    <w:rsid w:val="694E2071"/>
    <w:rsid w:val="69766163"/>
    <w:rsid w:val="697A3B33"/>
    <w:rsid w:val="69D44760"/>
    <w:rsid w:val="69DC594E"/>
    <w:rsid w:val="69DD35DA"/>
    <w:rsid w:val="6A221FFF"/>
    <w:rsid w:val="6A26721E"/>
    <w:rsid w:val="6A410DD6"/>
    <w:rsid w:val="6A447255"/>
    <w:rsid w:val="6A520EC7"/>
    <w:rsid w:val="6A5F6836"/>
    <w:rsid w:val="6AA00F70"/>
    <w:rsid w:val="6AF87E20"/>
    <w:rsid w:val="6B1B0BFA"/>
    <w:rsid w:val="6B322639"/>
    <w:rsid w:val="6B3F29F6"/>
    <w:rsid w:val="6B493987"/>
    <w:rsid w:val="6B831BEA"/>
    <w:rsid w:val="6B951401"/>
    <w:rsid w:val="6C636C38"/>
    <w:rsid w:val="6D027B18"/>
    <w:rsid w:val="6DB34098"/>
    <w:rsid w:val="6DB545B6"/>
    <w:rsid w:val="6DE02FB4"/>
    <w:rsid w:val="6DEE041E"/>
    <w:rsid w:val="6E310321"/>
    <w:rsid w:val="6E514CED"/>
    <w:rsid w:val="6EB563D5"/>
    <w:rsid w:val="6ED92677"/>
    <w:rsid w:val="6EEF3405"/>
    <w:rsid w:val="6F225983"/>
    <w:rsid w:val="6F3216BE"/>
    <w:rsid w:val="6FC262B4"/>
    <w:rsid w:val="6FFC5590"/>
    <w:rsid w:val="703409A1"/>
    <w:rsid w:val="706D1DD0"/>
    <w:rsid w:val="70856B87"/>
    <w:rsid w:val="70D527EE"/>
    <w:rsid w:val="7135411C"/>
    <w:rsid w:val="715B5300"/>
    <w:rsid w:val="71975478"/>
    <w:rsid w:val="71D27F8A"/>
    <w:rsid w:val="720F56F1"/>
    <w:rsid w:val="72135BEC"/>
    <w:rsid w:val="72553024"/>
    <w:rsid w:val="72F67AF4"/>
    <w:rsid w:val="73122968"/>
    <w:rsid w:val="731F5D5E"/>
    <w:rsid w:val="734A0C81"/>
    <w:rsid w:val="73C51AD5"/>
    <w:rsid w:val="741E793C"/>
    <w:rsid w:val="74430BEB"/>
    <w:rsid w:val="745E3944"/>
    <w:rsid w:val="7553331D"/>
    <w:rsid w:val="76337998"/>
    <w:rsid w:val="7635099D"/>
    <w:rsid w:val="765307D9"/>
    <w:rsid w:val="77762421"/>
    <w:rsid w:val="77B56B1F"/>
    <w:rsid w:val="77C67023"/>
    <w:rsid w:val="77DD0329"/>
    <w:rsid w:val="780F09F4"/>
    <w:rsid w:val="782F290A"/>
    <w:rsid w:val="786E4EDD"/>
    <w:rsid w:val="78A90480"/>
    <w:rsid w:val="78C66516"/>
    <w:rsid w:val="794A6B44"/>
    <w:rsid w:val="79CC0CC1"/>
    <w:rsid w:val="79D27638"/>
    <w:rsid w:val="79EA7C14"/>
    <w:rsid w:val="7A364017"/>
    <w:rsid w:val="7A8265E1"/>
    <w:rsid w:val="7B4A4A66"/>
    <w:rsid w:val="7B686D42"/>
    <w:rsid w:val="7B841746"/>
    <w:rsid w:val="7B8D3582"/>
    <w:rsid w:val="7BA842DA"/>
    <w:rsid w:val="7C6C5AC7"/>
    <w:rsid w:val="7C931A28"/>
    <w:rsid w:val="7CC6544B"/>
    <w:rsid w:val="7D0239FF"/>
    <w:rsid w:val="7D364757"/>
    <w:rsid w:val="7D421976"/>
    <w:rsid w:val="7D5C5EC8"/>
    <w:rsid w:val="7D5E40CD"/>
    <w:rsid w:val="7DAB09E9"/>
    <w:rsid w:val="7DCD56F2"/>
    <w:rsid w:val="7E1B2EF0"/>
    <w:rsid w:val="7E7538AD"/>
    <w:rsid w:val="7EF47F99"/>
    <w:rsid w:val="7F001CE7"/>
    <w:rsid w:val="7F842B54"/>
    <w:rsid w:val="7FC24723"/>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5"/>
        <o:r id="V:Rule3" type="connector" idref="#_x0000_s2057"/>
        <o:r id="V:Rule4" type="connector" idref="#_x0000_s2068"/>
        <o:r id="V:Rule5" type="connector" idref="#_x0000_s2069"/>
        <o:r id="V:Rule6" type="connector" idref="#_x0000_s2070"/>
        <o:r id="V:Rule7" type="connector" idref="#_x0000_s2071"/>
        <o:r id="V:Rule8" type="connector" idref="#_x0000_s2072"/>
        <o:r id="V:Rule9" type="connector" idref="#_x0000_s2077"/>
        <o:r id="V:Rule10" type="connector" idref="#自选图形 1108"/>
        <o:r id="V:Rule11" type="connector" idref="#自选图形 1120"/>
        <o:r id="V:Rule12" type="connector" idref="#自选图形 1120"/>
        <o:r id="V:Rule13" type="connector" idref="#自选图形 1108"/>
        <o:r id="V:Rule14" type="connector" idref="#自选图形 1108"/>
        <o:r id="V:Rule15" type="connector" idref="#自选图形 1108"/>
        <o:r id="V:Rule16" type="connector" idref="#自选图形 1120"/>
        <o:r id="V:Rule17" type="connector" idref="#自选图形 1108"/>
        <o:r id="V:Rule18" type="connector" idref="#_x0000_s2176"/>
        <o:r id="V:Rule19" type="connector" idref="#_x0000_s2182"/>
        <o:r id="V:Rule20" type="connector" idref="#_x0000_s2186"/>
        <o:r id="V:Rule21" type="connector" idref="#_x0000_s2188"/>
        <o:r id="V:Rule22" type="connector" idref="#_x0000_s2190"/>
        <o:r id="V:Rule23" type="connector" idref="#自选图形 1108"/>
        <o:r id="V:Rule24" type="connector" idref="#自选图形 1120"/>
        <o:r id="V:Rule25" type="connector" idref="#自选图形 1108"/>
        <o:r id="V:Rule26" type="connector" idref="#自选图形 1108"/>
        <o:r id="V:Rule27" type="connector" idref="#自选图形 1108"/>
        <o:r id="V:Rule28" type="connector" idref="#自选图形 1120"/>
        <o:r id="V:Rule29" type="connector" idref="#自选图形 1108"/>
        <o:r id="V:Rule30" type="connector" idref="#自选图形 1108"/>
        <o:r id="V:Rule31" type="connector" idref="#自选图形 1120"/>
        <o:r id="V:Rule32" type="connector" idref="#自选图形 1108"/>
        <o:r id="V:Rule33" type="connector" idref="#自选图形 1108"/>
        <o:r id="V:Rule34" type="connector" idref="#自选图形 1108"/>
        <o:r id="V:Rule35" type="connector" idref="#自选图形 1120"/>
        <o:r id="V:Rule36" type="connector" idref="#自选图形 1108"/>
        <o:r id="V:Rule37" type="connector" idref="#自选图形 12"/>
        <o:r id="V:Rule38" type="connector" idref="#自选图形 39"/>
        <o:r id="V:Rule39" type="connector" idref="#自选图形 36"/>
        <o:r id="V:Rule40" type="connector" idref="#自选图形 1108"/>
        <o:r id="V:Rule41" type="connector" idref="#_x0000_s2252"/>
        <o:r id="V:Rule42" type="connector" idref="#自选图形 1120"/>
        <o:r id="V:Rule43" type="connector" idref="#_x0000_s2255"/>
        <o:r id="V:Rule44" type="connector" idref="#_x0000_s2256"/>
        <o:r id="V:Rule45" type="connector" idref="#_x0000_s2257"/>
        <o:r id="V:Rule46" type="connector" idref="#_x0000_s2258"/>
        <o:r id="V:Rule47" type="connector" idref="#自选图形 1108"/>
        <o:r id="V:Rule48" type="connector" idref="#自选图形 1108"/>
        <o:r id="V:Rule49" type="connector" idref="#自选图形 1120"/>
        <o:r id="V:Rule50" type="connector" idref="#自选图形 1108"/>
        <o:r id="V:Rule51" type="connector" idref="#自选图形 1120"/>
        <o:r id="V:Rule52" type="connector" idref="#自选图形 1108"/>
        <o:r id="V:Rule53" type="connector" idref="#自选图形 1108"/>
        <o:r id="V:Rule54" type="connector" idref="#自选图形 1108"/>
        <o:r id="V:Rule55" type="connector" idref="#自选图形 1108"/>
        <o:r id="V:Rule56" type="connector" idref="#自选图形 1108"/>
        <o:r id="V:Rule57" type="connector" idref="#自选图形 1108"/>
        <o:r id="V:Rule58" type="connector" idref="#自选图形 1108"/>
        <o:r id="V:Rule59" type="connector" idref="#自选图形 1120"/>
        <o:r id="V:Rule60" type="connector" idref="#自选图形 1120"/>
        <o:r id="V:Rule61" type="connector" idref="#自选图形 1108"/>
        <o:r id="V:Rule62" type="connector" idref="#自选图形 1120"/>
        <o:r id="V:Rule63" type="connector" idref="#自选图形 1108"/>
        <o:r id="V:Rule64" type="connector" idref="#自选图形 1108"/>
        <o:r id="V:Rule65" type="connector" idref="#自选图形 1108"/>
        <o:r id="V:Rule66" type="connector" idref="#_x0000_s2303"/>
        <o:r id="V:Rule67" type="connector" idref="#自选图形 1120"/>
        <o:r id="V:Rule68" type="connector" idref="#自选图形 1108"/>
        <o:r id="V:Rule69" type="connector" idref="#自选图形 1108"/>
        <o:r id="V:Rule70" type="connector" idref="#自选图形 1108"/>
        <o:r id="V:Rule71" type="connector" idref="#_x0000_s2321"/>
        <o:r id="V:Rule72" type="connector" idref="#_x0000_s2322"/>
        <o:r id="V:Rule73" type="connector" idref="#_x0000_s2324"/>
        <o:r id="V:Rule74" type="connector" idref="#自选图形 1108"/>
        <o:r id="V:Rule75" type="connector" idref="#自选图形 1108"/>
        <o:r id="V:Rule76" type="connector" idref="#自选图形 1108"/>
        <o:r id="V:Rule77" type="connector" idref="#自选图形 1120"/>
        <o:r id="V:Rule78" type="connector" idref="#自选图形 1120"/>
        <o:r id="V:Rule79" type="connector" idref="#自选图形 1108"/>
        <o:r id="V:Rule80" type="connector" idref="#_x0000_s2337"/>
        <o:r id="V:Rule81" type="connector" idref="#自选图形 1120"/>
        <o:r id="V:Rule82" type="connector" idref="#自选图形 1120"/>
        <o:r id="V:Rule83" type="connector" idref="#自选图形 1108"/>
        <o:r id="V:Rule84" type="connector" idref="#_x0000_s2350"/>
        <o:r id="V:Rule85" type="connector" idref="#_x0000_s2351"/>
        <o:r id="V:Rule86" type="connector" idref="#自选图形 30756"/>
        <o:r id="V:Rule87" type="connector" idref="#自选图形 30756"/>
        <o:r id="V:Rule88" type="connector" idref="#自选图形 30756"/>
        <o:r id="V:Rule89" type="connector" idref="#_x0000_s2362"/>
        <o:r id="V:Rule90" type="connector" idref="#自选图形 30763"/>
        <o:r id="V:Rule91" type="connector" idref="#自选图形 30756"/>
        <o:r id="V:Rule92" type="connector" idref="#自选图形 30756"/>
        <o:r id="V:Rule93" type="connector" idref="#自选图形 30756"/>
        <o:r id="V:Rule94" type="connector" idref="#自选图形 30756"/>
        <o:r id="V:Rule95" type="connector" idref="#自选图形 30756"/>
        <o:r id="V:Rule96" type="connector" idref="#自选图形 30756"/>
        <o:r id="V:Rule97" type="connector" idref="#自选图形 30756"/>
        <o:r id="V:Rule98" type="connector" idref="#自选图形 30763"/>
        <o:r id="V:Rule99" type="connector" idref="#自选图形 30763"/>
        <o:r id="V:Rule100" type="connector" idref="#自选图形 30763"/>
        <o:r id="V:Rule101" type="connector" idref="#_x0000_s2384"/>
        <o:r id="V:Rule102" type="connector" idref="#_x0000_s2386"/>
        <o:r id="V:Rule103" type="connector" idref="#_x0000_s2387"/>
        <o:r id="V:Rule104" type="connector" idref="#_x0000_s2389"/>
        <o:r id="V:Rule105" type="connector" idref="#_x0000_s2391"/>
        <o:r id="V:Rule106" type="connector" idref="#_x0000_s2393"/>
        <o:r id="V:Rule107" type="connector" idref="#_x0000_s2395"/>
        <o:r id="V:Rule108" type="connector" idref="#_x0000_s2397"/>
        <o:r id="V:Rule109" type="connector" idref="#_x0000_s2399"/>
        <o:r id="V:Rule110" type="connector" idref="#_x0000_s2401"/>
        <o:r id="V:Rule111" type="connector" idref="#_x0000_s2402"/>
        <o:r id="V:Rule112" type="connector" idref="#_x0000_s2406"/>
        <o:r id="V:Rule113" type="connector" idref="#_x0000_s2407"/>
        <o:r id="V:Rule114" type="connector" idref="#_x0000_s2409"/>
        <o:r id="V:Rule115" type="connector" idref="#_x0000_s2411"/>
        <o:r id="V:Rule116" type="connector" idref="#_x0000_s2413"/>
        <o:r id="V:Rule117" type="connector" idref="#_x0000_s2415"/>
        <o:r id="V:Rule118" type="connector" idref="#_x0000_s2416"/>
        <o:r id="V:Rule119" type="connector" idref="#_x0000_s2417"/>
        <o:r id="V:Rule120" type="connector" idref="#_x0000_s2419"/>
        <o:r id="V:Rule121" type="connector" idref="#_x0000_s2422"/>
        <o:r id="V:Rule122" type="connector" idref="#_x0000_s2423"/>
        <o:r id="V:Rule123" type="connector" idref="#_x0000_s2425"/>
        <o:r id="V:Rule124" type="connector" idref="#_x0000_s2427"/>
        <o:r id="V:Rule125" type="connector" idref="#_x0000_s2431"/>
        <o:r id="V:Rule126" type="connector" idref="#_x0000_s2432"/>
        <o:r id="V:Rule127" type="connector" idref="#_x0000_s2436"/>
        <o:r id="V:Rule128" type="connector" idref="#_x0000_s2437"/>
        <o:r id="V:Rule129" type="connector" idref="#_x0000_s2438"/>
        <o:r id="V:Rule130" type="connector" idref="#_x0000_s2441"/>
        <o:r id="V:Rule131" type="connector" idref="#_x0000_s2442"/>
        <o:r id="V:Rule132" type="connector" idref="#_x0000_s2445"/>
        <o:r id="V:Rule133" type="connector" idref="#_x0000_s2448"/>
        <o:r id="V:Rule134" type="connector" idref="#_x0000_s2453"/>
        <o:r id="V:Rule135" type="connector" idref="#_x0000_s2455"/>
        <o:r id="V:Rule136" type="connector" idref="#_x0000_s2457"/>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link w:val="47"/>
    <w:semiHidden/>
    <w:unhideWhenUsed/>
    <w:qFormat/>
    <w:locked/>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54"/>
    <w:unhideWhenUsed/>
    <w:qFormat/>
    <w:locked/>
    <w:uiPriority w:val="0"/>
    <w:pPr>
      <w:keepNext/>
      <w:keepLines/>
      <w:spacing w:before="260" w:after="260" w:line="416" w:lineRule="auto"/>
      <w:outlineLvl w:val="2"/>
    </w:pPr>
    <w:rPr>
      <w:b/>
      <w:bCs/>
      <w:sz w:val="32"/>
      <w:szCs w:val="32"/>
    </w:rPr>
  </w:style>
  <w:style w:type="paragraph" w:styleId="6">
    <w:name w:val="heading 6"/>
    <w:basedOn w:val="1"/>
    <w:next w:val="1"/>
    <w:link w:val="59"/>
    <w:semiHidden/>
    <w:unhideWhenUsed/>
    <w:qFormat/>
    <w:locked/>
    <w:uiPriority w:val="0"/>
    <w:pPr>
      <w:keepNext/>
      <w:keepLines/>
      <w:spacing w:before="240" w:after="64" w:line="320" w:lineRule="auto"/>
      <w:outlineLvl w:val="5"/>
    </w:pPr>
    <w:rPr>
      <w:rFonts w:ascii="Cambria" w:hAnsi="Cambria"/>
      <w:b/>
      <w:bCs/>
      <w:sz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locked/>
    <w:uiPriority w:val="0"/>
    <w:rPr>
      <w:sz w:val="24"/>
    </w:rPr>
  </w:style>
  <w:style w:type="paragraph" w:styleId="7">
    <w:name w:val="Normal Indent"/>
    <w:basedOn w:val="1"/>
    <w:link w:val="55"/>
    <w:qFormat/>
    <w:locked/>
    <w:uiPriority w:val="0"/>
    <w:pPr>
      <w:ind w:firstLine="420" w:firstLineChars="200"/>
    </w:pPr>
    <w:rPr>
      <w:kern w:val="0"/>
      <w:sz w:val="20"/>
    </w:rPr>
  </w:style>
  <w:style w:type="paragraph" w:styleId="8">
    <w:name w:val="caption"/>
    <w:basedOn w:val="1"/>
    <w:next w:val="1"/>
    <w:qFormat/>
    <w:locked/>
    <w:uiPriority w:val="0"/>
    <w:rPr>
      <w:rFonts w:ascii="Arial" w:hAnsi="Arial" w:eastAsia="黑体"/>
      <w:sz w:val="20"/>
      <w:szCs w:val="20"/>
    </w:rPr>
  </w:style>
  <w:style w:type="paragraph" w:styleId="9">
    <w:name w:val="annotation text"/>
    <w:basedOn w:val="1"/>
    <w:link w:val="34"/>
    <w:semiHidden/>
    <w:qFormat/>
    <w:uiPriority w:val="0"/>
    <w:pPr>
      <w:jc w:val="left"/>
    </w:pPr>
    <w:rPr>
      <w:kern w:val="0"/>
      <w:sz w:val="24"/>
      <w:szCs w:val="20"/>
    </w:rPr>
  </w:style>
  <w:style w:type="paragraph" w:styleId="10">
    <w:name w:val="Body Text"/>
    <w:basedOn w:val="1"/>
    <w:link w:val="33"/>
    <w:qFormat/>
    <w:uiPriority w:val="0"/>
    <w:pPr>
      <w:widowControl/>
      <w:snapToGrid w:val="0"/>
      <w:spacing w:before="60" w:after="160" w:line="259" w:lineRule="auto"/>
      <w:ind w:right="113"/>
    </w:pPr>
    <w:rPr>
      <w:kern w:val="0"/>
      <w:sz w:val="18"/>
      <w:szCs w:val="20"/>
    </w:rPr>
  </w:style>
  <w:style w:type="paragraph" w:styleId="11">
    <w:name w:val="Body Text Indent"/>
    <w:basedOn w:val="1"/>
    <w:next w:val="12"/>
    <w:link w:val="42"/>
    <w:qFormat/>
    <w:uiPriority w:val="0"/>
    <w:pPr>
      <w:spacing w:after="120"/>
      <w:ind w:left="420" w:leftChars="200"/>
    </w:pPr>
    <w:rPr>
      <w:kern w:val="0"/>
      <w:sz w:val="24"/>
      <w:szCs w:val="20"/>
    </w:rPr>
  </w:style>
  <w:style w:type="paragraph" w:styleId="12">
    <w:name w:val="Body Text Indent 2"/>
    <w:basedOn w:val="1"/>
    <w:next w:val="13"/>
    <w:link w:val="50"/>
    <w:qFormat/>
    <w:locked/>
    <w:uiPriority w:val="0"/>
    <w:pPr>
      <w:spacing w:after="120" w:line="480" w:lineRule="auto"/>
      <w:ind w:left="420" w:leftChars="200"/>
    </w:pPr>
  </w:style>
  <w:style w:type="paragraph" w:styleId="13">
    <w:name w:val="Body Text First Indent 2"/>
    <w:basedOn w:val="11"/>
    <w:next w:val="1"/>
    <w:link w:val="45"/>
    <w:qFormat/>
    <w:locked/>
    <w:uiPriority w:val="0"/>
    <w:pPr>
      <w:ind w:firstLine="420" w:firstLineChars="200"/>
    </w:pPr>
    <w:rPr>
      <w:kern w:val="2"/>
      <w:sz w:val="21"/>
      <w:szCs w:val="24"/>
    </w:rPr>
  </w:style>
  <w:style w:type="paragraph" w:styleId="14">
    <w:name w:val="Date"/>
    <w:basedOn w:val="1"/>
    <w:next w:val="1"/>
    <w:link w:val="29"/>
    <w:qFormat/>
    <w:uiPriority w:val="0"/>
    <w:pPr>
      <w:ind w:left="100" w:leftChars="2500"/>
    </w:pPr>
    <w:rPr>
      <w:kern w:val="0"/>
      <w:sz w:val="24"/>
      <w:szCs w:val="20"/>
    </w:rPr>
  </w:style>
  <w:style w:type="paragraph" w:styleId="15">
    <w:name w:val="Balloon Text"/>
    <w:basedOn w:val="1"/>
    <w:link w:val="38"/>
    <w:semiHidden/>
    <w:qFormat/>
    <w:uiPriority w:val="0"/>
    <w:rPr>
      <w:kern w:val="0"/>
      <w:sz w:val="18"/>
      <w:szCs w:val="20"/>
    </w:rPr>
  </w:style>
  <w:style w:type="paragraph" w:styleId="16">
    <w:name w:val="footer"/>
    <w:basedOn w:val="1"/>
    <w:link w:val="28"/>
    <w:qFormat/>
    <w:uiPriority w:val="99"/>
    <w:pPr>
      <w:tabs>
        <w:tab w:val="center" w:pos="4153"/>
        <w:tab w:val="right" w:pos="8306"/>
      </w:tabs>
      <w:snapToGrid w:val="0"/>
      <w:jc w:val="left"/>
    </w:pPr>
    <w:rPr>
      <w:kern w:val="0"/>
      <w:sz w:val="18"/>
      <w:szCs w:val="20"/>
    </w:rPr>
  </w:style>
  <w:style w:type="paragraph" w:styleId="17">
    <w:name w:val="header"/>
    <w:basedOn w:val="1"/>
    <w:link w:val="40"/>
    <w:qFormat/>
    <w:uiPriority w:val="0"/>
    <w:pPr>
      <w:pBdr>
        <w:bottom w:val="single" w:color="auto" w:sz="6" w:space="1"/>
      </w:pBdr>
      <w:tabs>
        <w:tab w:val="center" w:pos="4153"/>
        <w:tab w:val="right" w:pos="8306"/>
      </w:tabs>
      <w:snapToGrid w:val="0"/>
      <w:jc w:val="center"/>
    </w:pPr>
    <w:rPr>
      <w:kern w:val="0"/>
      <w:sz w:val="18"/>
      <w:szCs w:val="20"/>
    </w:rPr>
  </w:style>
  <w:style w:type="paragraph" w:styleId="18">
    <w:name w:val="table of figures"/>
    <w:basedOn w:val="1"/>
    <w:next w:val="1"/>
    <w:qFormat/>
    <w:locked/>
    <w:uiPriority w:val="0"/>
    <w:pPr>
      <w:ind w:left="200" w:leftChars="200" w:hanging="200" w:hangingChars="200"/>
    </w:pPr>
  </w:style>
  <w:style w:type="paragraph" w:styleId="19">
    <w:name w:val="Normal (Web)"/>
    <w:basedOn w:val="1"/>
    <w:link w:val="31"/>
    <w:qFormat/>
    <w:uiPriority w:val="0"/>
    <w:pPr>
      <w:widowControl/>
      <w:spacing w:before="100" w:beforeAutospacing="1" w:after="100" w:afterAutospacing="1"/>
      <w:jc w:val="left"/>
    </w:pPr>
    <w:rPr>
      <w:rFonts w:ascii="宋体" w:hAnsi="宋体"/>
      <w:kern w:val="0"/>
      <w:sz w:val="24"/>
      <w:szCs w:val="20"/>
    </w:rPr>
  </w:style>
  <w:style w:type="paragraph" w:styleId="20">
    <w:name w:val="annotation subject"/>
    <w:basedOn w:val="9"/>
    <w:next w:val="9"/>
    <w:link w:val="39"/>
    <w:semiHidden/>
    <w:qFormat/>
    <w:uiPriority w:val="0"/>
    <w:rPr>
      <w:b/>
      <w:kern w:val="2"/>
    </w:rPr>
  </w:style>
  <w:style w:type="paragraph" w:styleId="21">
    <w:name w:val="Body Text First Indent"/>
    <w:basedOn w:val="10"/>
    <w:link w:val="71"/>
    <w:qFormat/>
    <w:locked/>
    <w:uiPriority w:val="0"/>
    <w:pPr>
      <w:widowControl w:val="0"/>
      <w:snapToGrid/>
      <w:spacing w:before="0" w:after="120" w:line="240" w:lineRule="auto"/>
      <w:ind w:right="0" w:firstLine="420" w:firstLineChars="100"/>
    </w:pPr>
    <w:rPr>
      <w:kern w:val="2"/>
      <w:sz w:val="21"/>
      <w:szCs w:val="24"/>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locked/>
    <w:uiPriority w:val="0"/>
  </w:style>
  <w:style w:type="character" w:styleId="26">
    <w:name w:val="Hyperlink"/>
    <w:basedOn w:val="24"/>
    <w:unhideWhenUsed/>
    <w:qFormat/>
    <w:locked/>
    <w:uiPriority w:val="99"/>
    <w:rPr>
      <w:color w:val="0000FF"/>
      <w:u w:val="single"/>
    </w:rPr>
  </w:style>
  <w:style w:type="character" w:styleId="27">
    <w:name w:val="annotation reference"/>
    <w:semiHidden/>
    <w:qFormat/>
    <w:uiPriority w:val="0"/>
    <w:rPr>
      <w:sz w:val="21"/>
    </w:rPr>
  </w:style>
  <w:style w:type="character" w:customStyle="1" w:styleId="28">
    <w:name w:val="页脚 Char"/>
    <w:link w:val="16"/>
    <w:qFormat/>
    <w:locked/>
    <w:uiPriority w:val="99"/>
    <w:rPr>
      <w:sz w:val="18"/>
    </w:rPr>
  </w:style>
  <w:style w:type="character" w:customStyle="1" w:styleId="29">
    <w:name w:val="日期 Char"/>
    <w:link w:val="14"/>
    <w:qFormat/>
    <w:locked/>
    <w:uiPriority w:val="0"/>
    <w:rPr>
      <w:rFonts w:ascii="Times New Roman" w:hAnsi="Times New Roman" w:eastAsia="宋体"/>
      <w:sz w:val="24"/>
    </w:rPr>
  </w:style>
  <w:style w:type="character" w:customStyle="1" w:styleId="30">
    <w:name w:val="页脚 字符"/>
    <w:basedOn w:val="24"/>
    <w:qFormat/>
    <w:uiPriority w:val="99"/>
  </w:style>
  <w:style w:type="character" w:customStyle="1" w:styleId="31">
    <w:name w:val="普通(网站) Char"/>
    <w:link w:val="19"/>
    <w:qFormat/>
    <w:locked/>
    <w:uiPriority w:val="0"/>
    <w:rPr>
      <w:rFonts w:ascii="宋体" w:hAnsi="宋体" w:eastAsia="宋体"/>
      <w:sz w:val="24"/>
    </w:rPr>
  </w:style>
  <w:style w:type="character" w:customStyle="1" w:styleId="32">
    <w:name w:val="正文文本 字符1"/>
    <w:semiHidden/>
    <w:qFormat/>
    <w:uiPriority w:val="0"/>
    <w:rPr>
      <w:rFonts w:ascii="Times New Roman" w:hAnsi="Times New Roman" w:eastAsia="宋体"/>
      <w:sz w:val="24"/>
    </w:rPr>
  </w:style>
  <w:style w:type="character" w:customStyle="1" w:styleId="33">
    <w:name w:val="正文文本 Char"/>
    <w:link w:val="10"/>
    <w:qFormat/>
    <w:locked/>
    <w:uiPriority w:val="0"/>
    <w:rPr>
      <w:sz w:val="18"/>
    </w:rPr>
  </w:style>
  <w:style w:type="character" w:customStyle="1" w:styleId="34">
    <w:name w:val="批注文字 Char"/>
    <w:link w:val="9"/>
    <w:qFormat/>
    <w:locked/>
    <w:uiPriority w:val="0"/>
    <w:rPr>
      <w:rFonts w:ascii="Times New Roman" w:hAnsi="Times New Roman" w:eastAsia="宋体"/>
      <w:sz w:val="24"/>
    </w:rPr>
  </w:style>
  <w:style w:type="character" w:customStyle="1" w:styleId="35">
    <w:name w:val="表格 Char"/>
    <w:link w:val="36"/>
    <w:qFormat/>
    <w:locked/>
    <w:uiPriority w:val="0"/>
    <w:rPr>
      <w:rFonts w:ascii="宋体"/>
      <w:sz w:val="21"/>
    </w:rPr>
  </w:style>
  <w:style w:type="paragraph" w:customStyle="1" w:styleId="36">
    <w:name w:val="表格"/>
    <w:basedOn w:val="1"/>
    <w:next w:val="1"/>
    <w:link w:val="35"/>
    <w:qFormat/>
    <w:uiPriority w:val="0"/>
    <w:pPr>
      <w:adjustRightInd w:val="0"/>
      <w:snapToGrid w:val="0"/>
      <w:spacing w:beforeLines="10" w:afterLines="10" w:line="259" w:lineRule="auto"/>
      <w:jc w:val="center"/>
    </w:pPr>
    <w:rPr>
      <w:rFonts w:ascii="宋体"/>
      <w:kern w:val="0"/>
      <w:szCs w:val="20"/>
    </w:rPr>
  </w:style>
  <w:style w:type="character" w:customStyle="1" w:styleId="37">
    <w:name w:val="日期 字符"/>
    <w:semiHidden/>
    <w:qFormat/>
    <w:uiPriority w:val="0"/>
    <w:rPr>
      <w:rFonts w:ascii="Times New Roman" w:hAnsi="Times New Roman" w:eastAsia="宋体"/>
      <w:sz w:val="24"/>
    </w:rPr>
  </w:style>
  <w:style w:type="character" w:customStyle="1" w:styleId="38">
    <w:name w:val="批注框文本 Char"/>
    <w:link w:val="15"/>
    <w:semiHidden/>
    <w:qFormat/>
    <w:locked/>
    <w:uiPriority w:val="0"/>
    <w:rPr>
      <w:rFonts w:ascii="Times New Roman" w:hAnsi="Times New Roman" w:eastAsia="宋体"/>
      <w:sz w:val="18"/>
    </w:rPr>
  </w:style>
  <w:style w:type="character" w:customStyle="1" w:styleId="39">
    <w:name w:val="批注主题 Char"/>
    <w:link w:val="20"/>
    <w:semiHidden/>
    <w:qFormat/>
    <w:locked/>
    <w:uiPriority w:val="0"/>
    <w:rPr>
      <w:rFonts w:ascii="Times New Roman" w:hAnsi="Times New Roman" w:eastAsia="宋体"/>
      <w:b/>
      <w:kern w:val="2"/>
      <w:sz w:val="24"/>
    </w:rPr>
  </w:style>
  <w:style w:type="character" w:customStyle="1" w:styleId="40">
    <w:name w:val="页眉 Char"/>
    <w:link w:val="17"/>
    <w:qFormat/>
    <w:locked/>
    <w:uiPriority w:val="0"/>
    <w:rPr>
      <w:sz w:val="18"/>
    </w:rPr>
  </w:style>
  <w:style w:type="character" w:customStyle="1" w:styleId="41">
    <w:name w:val="批注文字 字符1"/>
    <w:semiHidden/>
    <w:qFormat/>
    <w:uiPriority w:val="0"/>
    <w:rPr>
      <w:rFonts w:ascii="Times New Roman" w:hAnsi="Times New Roman" w:eastAsia="宋体"/>
      <w:sz w:val="24"/>
    </w:rPr>
  </w:style>
  <w:style w:type="character" w:customStyle="1" w:styleId="42">
    <w:name w:val="正文文本缩进 Char"/>
    <w:link w:val="11"/>
    <w:semiHidden/>
    <w:qFormat/>
    <w:locked/>
    <w:uiPriority w:val="0"/>
    <w:rPr>
      <w:rFonts w:ascii="Times New Roman" w:hAnsi="Times New Roman" w:eastAsia="宋体"/>
      <w:sz w:val="24"/>
    </w:rPr>
  </w:style>
  <w:style w:type="paragraph" w:customStyle="1" w:styleId="43">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45">
    <w:name w:val="正文首行缩进 2 Char"/>
    <w:basedOn w:val="42"/>
    <w:link w:val="13"/>
    <w:qFormat/>
    <w:uiPriority w:val="0"/>
    <w:rPr>
      <w:rFonts w:ascii="Times New Roman" w:hAnsi="Times New Roman" w:eastAsia="宋体"/>
      <w:kern w:val="2"/>
      <w:sz w:val="21"/>
      <w:szCs w:val="24"/>
    </w:rPr>
  </w:style>
  <w:style w:type="paragraph" w:customStyle="1" w:styleId="46">
    <w:name w:val="Table Paragraph"/>
    <w:basedOn w:val="1"/>
    <w:qFormat/>
    <w:uiPriority w:val="1"/>
    <w:pPr>
      <w:jc w:val="left"/>
    </w:pPr>
    <w:rPr>
      <w:kern w:val="0"/>
      <w:sz w:val="22"/>
      <w:szCs w:val="22"/>
      <w:lang w:eastAsia="en-US"/>
    </w:rPr>
  </w:style>
  <w:style w:type="character" w:customStyle="1" w:styleId="47">
    <w:name w:val="标题 2 Char"/>
    <w:basedOn w:val="24"/>
    <w:link w:val="4"/>
    <w:semiHidden/>
    <w:qFormat/>
    <w:uiPriority w:val="0"/>
    <w:rPr>
      <w:rFonts w:ascii="Cambria" w:hAnsi="Cambria" w:eastAsia="宋体" w:cs="Times New Roman"/>
      <w:b/>
      <w:bCs/>
      <w:kern w:val="2"/>
      <w:sz w:val="32"/>
      <w:szCs w:val="32"/>
    </w:rPr>
  </w:style>
  <w:style w:type="character" w:customStyle="1" w:styleId="48">
    <w:name w:val="+正文 Char Char"/>
    <w:basedOn w:val="24"/>
    <w:link w:val="49"/>
    <w:qFormat/>
    <w:uiPriority w:val="0"/>
    <w:rPr>
      <w:sz w:val="24"/>
      <w:szCs w:val="28"/>
    </w:rPr>
  </w:style>
  <w:style w:type="paragraph" w:customStyle="1" w:styleId="49">
    <w:name w:val="+正文"/>
    <w:basedOn w:val="1"/>
    <w:link w:val="48"/>
    <w:qFormat/>
    <w:uiPriority w:val="0"/>
    <w:pPr>
      <w:spacing w:line="360" w:lineRule="auto"/>
      <w:ind w:firstLine="200" w:firstLineChars="200"/>
    </w:pPr>
    <w:rPr>
      <w:kern w:val="0"/>
      <w:sz w:val="24"/>
      <w:szCs w:val="28"/>
    </w:rPr>
  </w:style>
  <w:style w:type="character" w:customStyle="1" w:styleId="50">
    <w:name w:val="正文文本缩进 2 Char"/>
    <w:basedOn w:val="24"/>
    <w:link w:val="12"/>
    <w:qFormat/>
    <w:uiPriority w:val="0"/>
    <w:rPr>
      <w:kern w:val="2"/>
      <w:sz w:val="21"/>
      <w:szCs w:val="24"/>
    </w:rPr>
  </w:style>
  <w:style w:type="character" w:customStyle="1" w:styleId="51">
    <w:name w:val="页脚 Char1"/>
    <w:basedOn w:val="24"/>
    <w:qFormat/>
    <w:uiPriority w:val="0"/>
    <w:rPr>
      <w:rFonts w:ascii="Times New Roman" w:hAnsi="Times New Roman" w:eastAsia="宋体" w:cs="Times New Roman"/>
      <w:sz w:val="18"/>
      <w:szCs w:val="18"/>
    </w:rPr>
  </w:style>
  <w:style w:type="character" w:customStyle="1" w:styleId="52">
    <w:name w:val="qowt-font1-timesnewroman"/>
    <w:basedOn w:val="24"/>
    <w:qFormat/>
    <w:uiPriority w:val="0"/>
  </w:style>
  <w:style w:type="paragraph" w:customStyle="1" w:styleId="53">
    <w:name w:val="图文框"/>
    <w:basedOn w:val="1"/>
    <w:qFormat/>
    <w:uiPriority w:val="0"/>
    <w:pPr>
      <w:adjustRightInd w:val="0"/>
      <w:snapToGrid w:val="0"/>
      <w:jc w:val="center"/>
    </w:pPr>
    <w:rPr>
      <w:rFonts w:ascii="宋体" w:hAnsi="宋体"/>
      <w:color w:val="000000"/>
      <w:szCs w:val="21"/>
    </w:rPr>
  </w:style>
  <w:style w:type="character" w:customStyle="1" w:styleId="54">
    <w:name w:val="标题 3 Char"/>
    <w:basedOn w:val="24"/>
    <w:link w:val="5"/>
    <w:qFormat/>
    <w:uiPriority w:val="0"/>
    <w:rPr>
      <w:b/>
      <w:bCs/>
      <w:kern w:val="2"/>
      <w:sz w:val="32"/>
      <w:szCs w:val="32"/>
    </w:rPr>
  </w:style>
  <w:style w:type="character" w:customStyle="1" w:styleId="55">
    <w:name w:val="正文缩进 Char"/>
    <w:basedOn w:val="24"/>
    <w:link w:val="7"/>
    <w:qFormat/>
    <w:uiPriority w:val="0"/>
    <w:rPr>
      <w:szCs w:val="24"/>
    </w:rPr>
  </w:style>
  <w:style w:type="character" w:customStyle="1" w:styleId="56">
    <w:name w:val="普通文字 Char Char1"/>
    <w:qFormat/>
    <w:uiPriority w:val="0"/>
    <w:rPr>
      <w:rFonts w:ascii="宋体" w:hAnsi="Courier New" w:eastAsia="宋体"/>
      <w:spacing w:val="-2"/>
      <w:kern w:val="28"/>
      <w:sz w:val="21"/>
      <w:lang w:val="en-US" w:eastAsia="zh-CN" w:bidi="ar-SA"/>
    </w:rPr>
  </w:style>
  <w:style w:type="character" w:customStyle="1" w:styleId="57">
    <w:name w:val="报告表正文 Char"/>
    <w:link w:val="58"/>
    <w:qFormat/>
    <w:uiPriority w:val="0"/>
    <w:rPr>
      <w:sz w:val="24"/>
      <w:szCs w:val="24"/>
    </w:rPr>
  </w:style>
  <w:style w:type="paragraph" w:customStyle="1" w:styleId="58">
    <w:name w:val="报告表正文"/>
    <w:basedOn w:val="1"/>
    <w:link w:val="57"/>
    <w:qFormat/>
    <w:uiPriority w:val="0"/>
    <w:pPr>
      <w:spacing w:line="360" w:lineRule="auto"/>
      <w:ind w:firstLine="200" w:firstLineChars="200"/>
    </w:pPr>
    <w:rPr>
      <w:kern w:val="0"/>
      <w:sz w:val="24"/>
    </w:rPr>
  </w:style>
  <w:style w:type="character" w:customStyle="1" w:styleId="59">
    <w:name w:val="标题 6 Char"/>
    <w:basedOn w:val="24"/>
    <w:link w:val="6"/>
    <w:qFormat/>
    <w:uiPriority w:val="0"/>
    <w:rPr>
      <w:rFonts w:ascii="Cambria" w:hAnsi="Cambria" w:eastAsia="宋体" w:cs="Times New Roman"/>
      <w:b/>
      <w:bCs/>
      <w:kern w:val="2"/>
      <w:sz w:val="24"/>
      <w:szCs w:val="24"/>
    </w:rPr>
  </w:style>
  <w:style w:type="paragraph" w:customStyle="1" w:styleId="60">
    <w:name w:val="表 标题"/>
    <w:basedOn w:val="18"/>
    <w:next w:val="1"/>
    <w:link w:val="62"/>
    <w:qFormat/>
    <w:uiPriority w:val="99"/>
    <w:pPr>
      <w:spacing w:beforeLines="50"/>
      <w:ind w:left="0" w:leftChars="0" w:firstLine="0" w:firstLineChars="0"/>
      <w:jc w:val="center"/>
    </w:pPr>
    <w:rPr>
      <w:b/>
      <w:sz w:val="24"/>
      <w:szCs w:val="20"/>
    </w:rPr>
  </w:style>
  <w:style w:type="paragraph" w:customStyle="1" w:styleId="61">
    <w:name w:val="表格中文字"/>
    <w:basedOn w:val="1"/>
    <w:link w:val="63"/>
    <w:qFormat/>
    <w:uiPriority w:val="99"/>
    <w:pPr>
      <w:adjustRightInd w:val="0"/>
      <w:snapToGrid w:val="0"/>
      <w:jc w:val="center"/>
    </w:pPr>
    <w:rPr>
      <w:kern w:val="18"/>
      <w:szCs w:val="20"/>
    </w:rPr>
  </w:style>
  <w:style w:type="character" w:customStyle="1" w:styleId="62">
    <w:name w:val="表 标题 Char"/>
    <w:link w:val="60"/>
    <w:qFormat/>
    <w:uiPriority w:val="99"/>
    <w:rPr>
      <w:b/>
      <w:kern w:val="2"/>
      <w:sz w:val="24"/>
    </w:rPr>
  </w:style>
  <w:style w:type="character" w:customStyle="1" w:styleId="63">
    <w:name w:val="表格中文字 Char"/>
    <w:link w:val="61"/>
    <w:qFormat/>
    <w:uiPriority w:val="99"/>
    <w:rPr>
      <w:kern w:val="18"/>
      <w:sz w:val="21"/>
    </w:rPr>
  </w:style>
  <w:style w:type="paragraph" w:customStyle="1" w:styleId="64">
    <w:name w:val="正文-预案"/>
    <w:basedOn w:val="1"/>
    <w:qFormat/>
    <w:uiPriority w:val="0"/>
    <w:pPr>
      <w:spacing w:before="60" w:line="360" w:lineRule="auto"/>
      <w:ind w:firstLine="200" w:firstLineChars="200"/>
    </w:pPr>
    <w:rPr>
      <w:rFonts w:ascii="Calibri" w:hAnsi="Calibri"/>
      <w:kern w:val="0"/>
      <w:sz w:val="24"/>
    </w:rPr>
  </w:style>
  <w:style w:type="paragraph" w:customStyle="1" w:styleId="65">
    <w:name w:val="样式 标题 3标题 3 Char Char条标题1.1.1Section头小标题小节标题Sottoparagraf..."/>
    <w:basedOn w:val="5"/>
    <w:qFormat/>
    <w:uiPriority w:val="0"/>
    <w:pPr>
      <w:keepLines w:val="0"/>
      <w:tabs>
        <w:tab w:val="left" w:pos="360"/>
      </w:tabs>
      <w:spacing w:before="0" w:after="0" w:line="360" w:lineRule="auto"/>
    </w:pPr>
    <w:rPr>
      <w:rFonts w:ascii="Calibri" w:hAnsi="Calibri" w:cs="宋体"/>
      <w:b w:val="0"/>
      <w:bCs w:val="0"/>
      <w:kern w:val="0"/>
      <w:sz w:val="24"/>
      <w:szCs w:val="20"/>
    </w:rPr>
  </w:style>
  <w:style w:type="character" w:customStyle="1" w:styleId="66">
    <w:name w:val="正文文本 3 Char1"/>
    <w:basedOn w:val="24"/>
    <w:qFormat/>
    <w:uiPriority w:val="0"/>
    <w:rPr>
      <w:color w:val="FF0000"/>
      <w:kern w:val="2"/>
      <w:sz w:val="21"/>
      <w:szCs w:val="24"/>
    </w:rPr>
  </w:style>
  <w:style w:type="paragraph" w:customStyle="1" w:styleId="67">
    <w:name w:val="xl22"/>
    <w:basedOn w:val="1"/>
    <w:qFormat/>
    <w:uiPriority w:val="99"/>
    <w:pPr>
      <w:widowControl/>
      <w:jc w:val="center"/>
    </w:pPr>
    <w:rPr>
      <w:kern w:val="0"/>
      <w:sz w:val="24"/>
    </w:rPr>
  </w:style>
  <w:style w:type="paragraph" w:customStyle="1" w:styleId="68">
    <w:name w:val="3表格正文"/>
    <w:basedOn w:val="1"/>
    <w:qFormat/>
    <w:uiPriority w:val="0"/>
    <w:pPr>
      <w:adjustRightInd w:val="0"/>
      <w:snapToGrid w:val="0"/>
      <w:jc w:val="center"/>
    </w:pPr>
    <w:rPr>
      <w:bCs/>
      <w:color w:val="FF0000"/>
      <w:szCs w:val="21"/>
    </w:rPr>
  </w:style>
  <w:style w:type="character" w:customStyle="1" w:styleId="69">
    <w:name w:val="fontstyle01"/>
    <w:qFormat/>
    <w:uiPriority w:val="0"/>
    <w:rPr>
      <w:rFonts w:hint="eastAsia" w:ascii="宋体" w:hAnsi="宋体" w:eastAsia="宋体"/>
      <w:color w:val="000000"/>
      <w:sz w:val="22"/>
      <w:szCs w:val="22"/>
    </w:rPr>
  </w:style>
  <w:style w:type="paragraph" w:customStyle="1" w:styleId="70">
    <w:name w:val="Revision"/>
    <w:hidden/>
    <w:unhideWhenUsed/>
    <w:uiPriority w:val="99"/>
    <w:rPr>
      <w:rFonts w:ascii="Times New Roman" w:hAnsi="Times New Roman" w:eastAsia="宋体" w:cs="Times New Roman"/>
      <w:kern w:val="2"/>
      <w:sz w:val="21"/>
      <w:szCs w:val="24"/>
      <w:lang w:val="en-US" w:eastAsia="zh-CN" w:bidi="ar-SA"/>
    </w:rPr>
  </w:style>
  <w:style w:type="character" w:customStyle="1" w:styleId="71">
    <w:name w:val="正文首行缩进 Char"/>
    <w:basedOn w:val="33"/>
    <w:link w:val="21"/>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272"/>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6"/>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421"/>
    <customShpInfo spid="_x0000_s2422"/>
    <customShpInfo spid="_x0000_s2423"/>
    <customShpInfo spid="_x0000_s2424"/>
    <customShpInfo spid="_x0000_s2425"/>
    <customShpInfo spid="_x0000_s2426"/>
    <customShpInfo spid="_x0000_s2427"/>
    <customShpInfo spid="_x0000_s2428"/>
    <customShpInfo spid="_x0000_s2429"/>
    <customShpInfo spid="_x0000_s2430"/>
    <customShpInfo spid="_x0000_s2431"/>
    <customShpInfo spid="_x0000_s2432"/>
    <customShpInfo spid="_x0000_s2433"/>
    <customShpInfo spid="_x0000_s2434"/>
    <customShpInfo spid="_x0000_s2435"/>
    <customShpInfo spid="_x0000_s2436"/>
    <customShpInfo spid="_x0000_s2437"/>
    <customShpInfo spid="_x0000_s2438"/>
    <customShpInfo spid="_x0000_s2439"/>
    <customShpInfo spid="_x0000_s2440"/>
    <customShpInfo spid="_x0000_s2050"/>
    <customShpInfo spid="_x0000_s2181"/>
    <customShpInfo spid="_x0000_s2182"/>
    <customShpInfo spid="_x0000_s2183"/>
    <customShpInfo spid="_x0000_s2184"/>
    <customShpInfo spid="_x0000_s2185"/>
    <customShpInfo spid="_x0000_s2188"/>
    <customShpInfo spid="_x0000_s2189"/>
    <customShpInfo spid="_x0000_s2190"/>
    <customShpInfo spid="_x0000_s2191"/>
    <customShpInfo spid="_x0000_s2192"/>
    <customShpInfo spid="_x0000_s2193"/>
    <customShpInfo spid="_x0000_s2194"/>
    <customShpInfo spid="_x0000_s2200"/>
    <customShpInfo spid="_x0000_s2201"/>
    <customShpInfo spid="_x0000_s2202"/>
    <customShpInfo spid="_x0000_s2204"/>
    <customShpInfo spid="_x0000_s2252"/>
    <customShpInfo spid="_x0000_s2255"/>
    <customShpInfo spid="_x0000_s2256"/>
    <customShpInfo spid="_x0000_s2257"/>
    <customShpInfo spid="_x0000_s2258"/>
    <customShpInfo spid="_x0000_s2259"/>
    <customShpInfo spid="_x0000_s2261"/>
    <customShpInfo spid="_x0000_s2276"/>
    <customShpInfo spid="_x0000_s2279"/>
    <customShpInfo spid="_x0000_s2303"/>
    <customShpInfo spid="_x0000_s2305"/>
    <customShpInfo spid="_x0000_s2308"/>
    <customShpInfo spid="_x0000_s2309"/>
    <customShpInfo spid="_x0000_s2313"/>
    <customShpInfo spid="_x0000_s2315"/>
    <customShpInfo spid="_x0000_s2316"/>
    <customShpInfo spid="_x0000_s2317"/>
    <customShpInfo spid="_x0000_s2318"/>
    <customShpInfo spid="_x0000_s2319"/>
    <customShpInfo spid="_x0000_s2321"/>
    <customShpInfo spid="_x0000_s2322"/>
    <customShpInfo spid="_x0000_s2323"/>
    <customShpInfo spid="_x0000_s2324"/>
    <customShpInfo spid="_x0000_s2336"/>
    <customShpInfo spid="_x0000_s2337"/>
    <customShpInfo spid="_x0000_s2338"/>
    <customShpInfo spid="_x0000_s2339"/>
    <customShpInfo spid="_x0000_s2340"/>
    <customShpInfo spid="_x0000_s2350"/>
    <customShpInfo spid="_x0000_s2351"/>
    <customShpInfo spid="_x0000_s2354"/>
    <customShpInfo spid="_x0000_s2356"/>
    <customShpInfo spid="_x0000_s2360"/>
    <customShpInfo spid="_x0000_s2362"/>
    <customShpInfo spid="_x0000_s2441"/>
    <customShpInfo spid="_x0000_s2442"/>
    <customShpInfo spid="_x0000_s2443"/>
    <customShpInfo spid="_x0000_s2444"/>
    <customShpInfo spid="_x0000_s2445"/>
    <customShpInfo spid="_x0000_s2446"/>
    <customShpInfo spid="_x0000_s2447"/>
    <customShpInfo spid="_x0000_s2448"/>
    <customShpInfo spid="_x0000_s2449"/>
    <customShpInfo spid="_x0000_s2450"/>
    <customShpInfo spid="_x0000_s2451"/>
    <customShpInfo spid="_x0000_s2452"/>
    <customShpInfo spid="_x0000_s2453"/>
    <customShpInfo spid="_x0000_s2454"/>
    <customShpInfo spid="_x0000_s2455"/>
    <customShpInfo spid="_x0000_s2456"/>
    <customShpInfo spid="_x0000_s2457"/>
    <customShpInfo spid="_x0000_s2458"/>
    <customShpInfo spid="_x0000_s2180"/>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02"/>
    <customShpInfo spid="_x0000_s2196"/>
    <customShpInfo spid="_x0000_s2197"/>
    <customShpInfo spid="_x0000_s2198"/>
    <customShpInfo spid="_x0000_s2199"/>
    <customShpInfo spid="_x0000_s2203"/>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195"/>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18"/>
    <customShpInfo spid="_x0000_s2244"/>
    <customShpInfo spid="_x0000_s2237"/>
    <customShpInfo spid="_x0000_s2238"/>
    <customShpInfo spid="_x0000_s2239"/>
    <customShpInfo spid="_x0000_s2240"/>
    <customShpInfo spid="_x0000_s2241"/>
    <customShpInfo spid="_x0000_s2242"/>
    <customShpInfo spid="_x0000_s2243"/>
    <customShpInfo spid="_x0000_s2245"/>
    <customShpInfo spid="_x0000_s2247"/>
    <customShpInfo spid="_x0000_s2248"/>
    <customShpInfo spid="_x0000_s2249"/>
    <customShpInfo spid="_x0000_s2250"/>
    <customShpInfo spid="_x0000_s2251"/>
    <customShpInfo spid="_x0000_s2253"/>
    <customShpInfo spid="_x0000_s2254"/>
    <customShpInfo spid="_x0000_s2260"/>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7"/>
    <customShpInfo spid="_x0000_s2278"/>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46"/>
    <customShpInfo spid="_x0000_s2299"/>
    <customShpInfo spid="_x0000_s2300"/>
    <customShpInfo spid="_x0000_s2301"/>
    <customShpInfo spid="_x0000_s2302"/>
    <customShpInfo spid="_x0000_s2304"/>
    <customShpInfo spid="_x0000_s2306"/>
    <customShpInfo spid="_x0000_s2307"/>
    <customShpInfo spid="_x0000_s2310"/>
    <customShpInfo spid="_x0000_s2311"/>
    <customShpInfo spid="_x0000_s2312"/>
    <customShpInfo spid="_x0000_s2314"/>
    <customShpInfo spid="_x0000_s2320"/>
    <customShpInfo spid="_x0000_s2325"/>
    <customShpInfo spid="_x0000_s2326"/>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41"/>
    <customShpInfo spid="_x0000_s2342"/>
    <customShpInfo spid="_x0000_s2343"/>
    <customShpInfo spid="_x0000_s2344"/>
    <customShpInfo spid="_x0000_s2345"/>
    <customShpInfo spid="_x0000_s2346"/>
    <customShpInfo spid="_x0000_s2347"/>
    <customShpInfo spid="_x0000_s2298"/>
    <customShpInfo spid="_x0000_s2349"/>
    <customShpInfo spid="_x0000_s2352"/>
    <customShpInfo spid="_x0000_s2353"/>
    <customShpInfo spid="_x0000_s2355"/>
    <customShpInfo spid="_x0000_s2357"/>
    <customShpInfo spid="_x0000_s2358"/>
    <customShpInfo spid="_x0000_s2359"/>
    <customShpInfo spid="_x0000_s2361"/>
    <customShpInfo spid="_x0000_s2363"/>
    <customShpInfo spid="_x0000_s2364"/>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74"/>
    <customShpInfo spid="_x0000_s2375"/>
    <customShpInfo spid="_x0000_s2376"/>
    <customShpInfo spid="_x0000_s2377"/>
    <customShpInfo spid="_x0000_s2378"/>
    <customShpInfo spid="_x0000_s2379"/>
    <customShpInfo spid="_x0000_s2380"/>
    <customShpInfo spid="_x0000_s2381"/>
    <customShpInfo spid="_x0000_s2382"/>
    <customShpInfo spid="_x0000_s2383"/>
    <customShpInfo spid="_x0000_s2348"/>
    <customShpInfo spid="_x0000_s1255"/>
    <customShpInfo spid="_x0000_s2174"/>
    <customShpInfo spid="_x0000_s2175"/>
    <customShpInfo spid="_x0000_s2176"/>
    <customShpInfo spid="_x0000_s2186"/>
    <customShpInfo spid="_x0000_s2187"/>
    <customShpInfo spid="_x0000_s2384"/>
    <customShpInfo spid="_x0000_s2385"/>
    <customShpInfo spid="_x0000_s2386"/>
    <customShpInfo spid="_x0000_s2387"/>
    <customShpInfo spid="_x0000_s2388"/>
    <customShpInfo spid="_x0000_s2389"/>
    <customShpInfo spid="_x0000_s2390"/>
    <customShpInfo spid="_x0000_s2391"/>
    <customShpInfo spid="_x0000_s2392"/>
    <customShpInfo spid="_x0000_s2393"/>
    <customShpInfo spid="_x0000_s2394"/>
    <customShpInfo spid="_x0000_s2395"/>
    <customShpInfo spid="_x0000_s2396"/>
    <customShpInfo spid="_x0000_s2397"/>
    <customShpInfo spid="_x0000_s2398"/>
    <customShpInfo spid="_x0000_s2399"/>
    <customShpInfo spid="_x0000_s2400"/>
    <customShpInfo spid="_x0000_s2401"/>
    <customShpInfo spid="_x0000_s2402"/>
    <customShpInfo spid="_x0000_s2403"/>
    <customShpInfo spid="_x0000_s2404"/>
    <customShpInfo spid="_x0000_s2405"/>
    <customShpInfo spid="_x0000_s2406"/>
    <customShpInfo spid="_x0000_s2407"/>
    <customShpInfo spid="_x0000_s2408"/>
    <customShpInfo spid="_x0000_s2409"/>
    <customShpInfo spid="_x0000_s2410"/>
    <customShpInfo spid="_x0000_s2411"/>
    <customShpInfo spid="_x0000_s2412"/>
    <customShpInfo spid="_x0000_s2413"/>
    <customShpInfo spid="_x0000_s2414"/>
    <customShpInfo spid="_x0000_s2415"/>
    <customShpInfo spid="_x0000_s2416"/>
    <customShpInfo spid="_x0000_s2417"/>
    <customShpInfo spid="_x0000_s2418"/>
    <customShpInfo spid="_x0000_s2419"/>
    <customShpInfo spid="_x0000_s2420"/>
    <customShpInfo spid="_x0000_s21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790BEF-B117-4140-9F24-7A4BF6B0F977}">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74</Pages>
  <Words>7697</Words>
  <Characters>43874</Characters>
  <Lines>365</Lines>
  <Paragraphs>102</Paragraphs>
  <TotalTime>25</TotalTime>
  <ScaleCrop>false</ScaleCrop>
  <LinksUpToDate>false</LinksUpToDate>
  <CharactersWithSpaces>51469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2021-03-14T09:41:00Z</dcterms:created>
  <dc:creator>lhj</dc:creator>
  <cp:lastModifiedBy>来日纵是千千阙歌</cp:lastModifiedBy>
  <cp:lastPrinted>2021-04-01T03:41:00Z</cp:lastPrinted>
  <dcterms:modified xsi:type="dcterms:W3CDTF">2021-05-17T07:26:31Z</dcterms:modified>
  <dc:title>附件2</dc:title>
  <cp:revision>674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F2E3D8DBA19343329F8755A8D0B5BB5A</vt:lpwstr>
  </property>
</Properties>
</file>